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  <w:r w:rsidRPr="00B1244B">
        <w:rPr>
          <w:rFonts w:ascii="Arial" w:hAnsi="Arial" w:cs="Arial"/>
          <w:sz w:val="24"/>
          <w:szCs w:val="24"/>
        </w:rPr>
        <w:t xml:space="preserve">Guía </w:t>
      </w:r>
      <w:r>
        <w:rPr>
          <w:rFonts w:ascii="Arial" w:hAnsi="Arial" w:cs="Arial"/>
          <w:sz w:val="24"/>
          <w:szCs w:val="24"/>
        </w:rPr>
        <w:t>d</w:t>
      </w:r>
      <w:r w:rsidRPr="00B1244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</w:t>
      </w:r>
      <w:r w:rsidRPr="00B1244B">
        <w:rPr>
          <w:rFonts w:ascii="Arial" w:hAnsi="Arial" w:cs="Arial"/>
          <w:sz w:val="24"/>
          <w:szCs w:val="24"/>
        </w:rPr>
        <w:t xml:space="preserve">ontrol </w:t>
      </w:r>
      <w:r>
        <w:rPr>
          <w:rFonts w:ascii="Arial" w:hAnsi="Arial" w:cs="Arial"/>
          <w:sz w:val="24"/>
          <w:szCs w:val="24"/>
        </w:rPr>
        <w:t>i</w:t>
      </w:r>
      <w:r w:rsidRPr="00B1244B">
        <w:rPr>
          <w:rFonts w:ascii="Arial" w:hAnsi="Arial" w:cs="Arial"/>
          <w:sz w:val="24"/>
          <w:szCs w:val="24"/>
        </w:rPr>
        <w:t xml:space="preserve">nterno </w:t>
      </w:r>
      <w:r>
        <w:rPr>
          <w:rFonts w:ascii="Arial" w:hAnsi="Arial" w:cs="Arial"/>
          <w:sz w:val="24"/>
          <w:szCs w:val="24"/>
        </w:rPr>
        <w:t>d</w:t>
      </w:r>
      <w:r w:rsidRPr="00B1244B">
        <w:rPr>
          <w:rFonts w:ascii="Arial" w:hAnsi="Arial" w:cs="Arial"/>
          <w:sz w:val="24"/>
          <w:szCs w:val="24"/>
        </w:rPr>
        <w:t>e las operaciones y obligaciones tributarias de las asociaciones y fundaciones sin fines de lucro que otorgan financiamiento bajo N</w:t>
      </w:r>
      <w:r>
        <w:rPr>
          <w:rFonts w:ascii="Arial" w:hAnsi="Arial" w:cs="Arial"/>
          <w:sz w:val="24"/>
          <w:szCs w:val="24"/>
        </w:rPr>
        <w:t>IA</w:t>
      </w:r>
      <w:r w:rsidRPr="00B1244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 w:rsidRPr="00B12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B1244B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B1244B">
        <w:rPr>
          <w:rFonts w:ascii="Arial" w:hAnsi="Arial" w:cs="Arial"/>
          <w:sz w:val="24"/>
          <w:szCs w:val="24"/>
        </w:rPr>
        <w:t xml:space="preserve">l Municipio </w:t>
      </w:r>
      <w:r>
        <w:rPr>
          <w:rFonts w:ascii="Arial" w:hAnsi="Arial" w:cs="Arial"/>
          <w:sz w:val="24"/>
          <w:szCs w:val="24"/>
        </w:rPr>
        <w:t>d</w:t>
      </w:r>
      <w:r w:rsidRPr="00B1244B">
        <w:rPr>
          <w:rFonts w:ascii="Arial" w:hAnsi="Arial" w:cs="Arial"/>
          <w:sz w:val="24"/>
          <w:szCs w:val="24"/>
        </w:rPr>
        <w:t xml:space="preserve">e Santa Ana, </w:t>
      </w:r>
      <w:r>
        <w:rPr>
          <w:rFonts w:ascii="Arial" w:hAnsi="Arial" w:cs="Arial"/>
          <w:sz w:val="24"/>
          <w:szCs w:val="24"/>
        </w:rPr>
        <w:t>d</w:t>
      </w:r>
      <w:r w:rsidRPr="00B1244B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</w:t>
      </w:r>
      <w:r w:rsidRPr="00B1244B">
        <w:rPr>
          <w:rFonts w:ascii="Arial" w:hAnsi="Arial" w:cs="Arial"/>
          <w:sz w:val="24"/>
          <w:szCs w:val="24"/>
        </w:rPr>
        <w:t>e Santa Ana, El Salvador</w:t>
      </w:r>
    </w:p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</w:p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1244B">
        <w:rPr>
          <w:rFonts w:ascii="Arial" w:hAnsi="Arial" w:cs="Arial"/>
          <w:sz w:val="24"/>
          <w:szCs w:val="24"/>
        </w:rPr>
        <w:t>Godoy Calderón, Irving</w:t>
      </w:r>
      <w:bookmarkEnd w:id="0"/>
      <w:r w:rsidRPr="00B1244B">
        <w:rPr>
          <w:rFonts w:ascii="Arial" w:hAnsi="Arial" w:cs="Arial"/>
          <w:sz w:val="24"/>
          <w:szCs w:val="24"/>
        </w:rPr>
        <w:t xml:space="preserve"> Alexander</w:t>
      </w:r>
    </w:p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  <w:r w:rsidRPr="00B1244B">
        <w:rPr>
          <w:rFonts w:ascii="Arial" w:hAnsi="Arial" w:cs="Arial"/>
          <w:sz w:val="24"/>
          <w:szCs w:val="24"/>
        </w:rPr>
        <w:t>Hernández Linares, José Mauricio</w:t>
      </w:r>
    </w:p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  <w:r w:rsidRPr="00B1244B">
        <w:rPr>
          <w:rFonts w:ascii="Arial" w:hAnsi="Arial" w:cs="Arial"/>
          <w:sz w:val="24"/>
          <w:szCs w:val="24"/>
        </w:rPr>
        <w:t>Morales Martínez, Gabriel</w:t>
      </w:r>
    </w:p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  <w:r w:rsidRPr="00B1244B">
        <w:rPr>
          <w:rFonts w:ascii="Arial" w:hAnsi="Arial" w:cs="Arial"/>
          <w:sz w:val="24"/>
          <w:szCs w:val="24"/>
        </w:rPr>
        <w:t>Moya Mina, Marta Guadalupe</w:t>
      </w:r>
    </w:p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</w:p>
    <w:p w:rsid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  <w:r w:rsidRPr="00B1244B">
        <w:rPr>
          <w:rFonts w:ascii="Arial" w:hAnsi="Arial" w:cs="Arial"/>
          <w:sz w:val="24"/>
          <w:szCs w:val="24"/>
        </w:rPr>
        <w:t>Nelson Humberto Garza</w:t>
      </w:r>
    </w:p>
    <w:p w:rsidR="00B1244B" w:rsidRP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</w:p>
    <w:p w:rsidR="00B1244B" w:rsidRPr="00B1244B" w:rsidRDefault="00B1244B" w:rsidP="00B1244B">
      <w:pPr>
        <w:jc w:val="both"/>
        <w:rPr>
          <w:rFonts w:ascii="Arial" w:hAnsi="Arial" w:cs="Arial"/>
          <w:sz w:val="24"/>
          <w:szCs w:val="24"/>
        </w:rPr>
      </w:pPr>
      <w:r w:rsidRPr="00B1244B">
        <w:rPr>
          <w:rFonts w:ascii="Arial" w:hAnsi="Arial" w:cs="Arial"/>
          <w:sz w:val="24"/>
          <w:szCs w:val="24"/>
        </w:rPr>
        <w:t xml:space="preserve">Las ONG’S son entidades con diferentes fines y objetivos tanto humanitarios como sociales, creadas independientemente de los gobiernos las cuales adoptan diferentes estatutos como: asociaciones, fundaciones corporaciones, entre otras. En El Salvador la </w:t>
      </w:r>
      <w:r>
        <w:rPr>
          <w:rFonts w:ascii="Arial" w:hAnsi="Arial" w:cs="Arial"/>
          <w:sz w:val="24"/>
          <w:szCs w:val="24"/>
        </w:rPr>
        <w:t>l</w:t>
      </w:r>
      <w:r w:rsidRPr="00B1244B">
        <w:rPr>
          <w:rFonts w:ascii="Arial" w:hAnsi="Arial" w:cs="Arial"/>
          <w:sz w:val="24"/>
          <w:szCs w:val="24"/>
        </w:rPr>
        <w:t xml:space="preserve">ey de Asociaciones y Fundaciones sin Fines de Lucro regula a las ONG’S las cuales a su vez adquieren su personería jurídica por medio del Ministerio de Gobernación; poseen sus propios estatutos los cuales serán de carácter obligatorio para todos sus miembros. Estas entidades se encuentran sometidas a ciertas normas de carácter técnica y legal como podemos mencionar el </w:t>
      </w:r>
      <w:r>
        <w:rPr>
          <w:rFonts w:ascii="Arial" w:hAnsi="Arial" w:cs="Arial"/>
          <w:sz w:val="24"/>
          <w:szCs w:val="24"/>
        </w:rPr>
        <w:t>c</w:t>
      </w:r>
      <w:r w:rsidRPr="00B1244B">
        <w:rPr>
          <w:rFonts w:ascii="Arial" w:hAnsi="Arial" w:cs="Arial"/>
          <w:sz w:val="24"/>
          <w:szCs w:val="24"/>
        </w:rPr>
        <w:t xml:space="preserve">ódigo </w:t>
      </w:r>
      <w:r>
        <w:rPr>
          <w:rFonts w:ascii="Arial" w:hAnsi="Arial" w:cs="Arial"/>
          <w:sz w:val="24"/>
          <w:szCs w:val="24"/>
        </w:rPr>
        <w:t>t</w:t>
      </w:r>
      <w:r w:rsidRPr="00B1244B">
        <w:rPr>
          <w:rFonts w:ascii="Arial" w:hAnsi="Arial" w:cs="Arial"/>
          <w:sz w:val="24"/>
          <w:szCs w:val="24"/>
        </w:rPr>
        <w:t xml:space="preserve">ributario, la </w:t>
      </w:r>
      <w:r>
        <w:rPr>
          <w:rFonts w:ascii="Arial" w:hAnsi="Arial" w:cs="Arial"/>
          <w:sz w:val="24"/>
          <w:szCs w:val="24"/>
        </w:rPr>
        <w:t>l</w:t>
      </w:r>
      <w:r w:rsidRPr="00B1244B">
        <w:rPr>
          <w:rFonts w:ascii="Arial" w:hAnsi="Arial" w:cs="Arial"/>
          <w:sz w:val="24"/>
          <w:szCs w:val="24"/>
        </w:rPr>
        <w:t xml:space="preserve">ey del </w:t>
      </w:r>
      <w:r>
        <w:rPr>
          <w:rFonts w:ascii="Arial" w:hAnsi="Arial" w:cs="Arial"/>
          <w:sz w:val="24"/>
          <w:szCs w:val="24"/>
        </w:rPr>
        <w:t>i</w:t>
      </w:r>
      <w:r w:rsidRPr="00B1244B">
        <w:rPr>
          <w:rFonts w:ascii="Arial" w:hAnsi="Arial" w:cs="Arial"/>
          <w:sz w:val="24"/>
          <w:szCs w:val="24"/>
        </w:rPr>
        <w:t xml:space="preserve">mpuesto sobre la </w:t>
      </w:r>
      <w:r>
        <w:rPr>
          <w:rFonts w:ascii="Arial" w:hAnsi="Arial" w:cs="Arial"/>
          <w:sz w:val="24"/>
          <w:szCs w:val="24"/>
        </w:rPr>
        <w:t>r</w:t>
      </w:r>
      <w:r w:rsidRPr="00B1244B">
        <w:rPr>
          <w:rFonts w:ascii="Arial" w:hAnsi="Arial" w:cs="Arial"/>
          <w:sz w:val="24"/>
          <w:szCs w:val="24"/>
        </w:rPr>
        <w:t xml:space="preserve">enta, las </w:t>
      </w:r>
      <w:r>
        <w:rPr>
          <w:rFonts w:ascii="Arial" w:hAnsi="Arial" w:cs="Arial"/>
          <w:sz w:val="24"/>
          <w:szCs w:val="24"/>
        </w:rPr>
        <w:t>n</w:t>
      </w:r>
      <w:r w:rsidRPr="00B1244B">
        <w:rPr>
          <w:rFonts w:ascii="Arial" w:hAnsi="Arial" w:cs="Arial"/>
          <w:sz w:val="24"/>
          <w:szCs w:val="24"/>
        </w:rPr>
        <w:t xml:space="preserve">ormas </w:t>
      </w:r>
      <w:r>
        <w:rPr>
          <w:rFonts w:ascii="Arial" w:hAnsi="Arial" w:cs="Arial"/>
          <w:sz w:val="24"/>
          <w:szCs w:val="24"/>
        </w:rPr>
        <w:t>i</w:t>
      </w:r>
      <w:r w:rsidRPr="00B1244B">
        <w:rPr>
          <w:rFonts w:ascii="Arial" w:hAnsi="Arial" w:cs="Arial"/>
          <w:sz w:val="24"/>
          <w:szCs w:val="24"/>
        </w:rPr>
        <w:t xml:space="preserve">nternacionales de </w:t>
      </w:r>
      <w:r>
        <w:rPr>
          <w:rFonts w:ascii="Arial" w:hAnsi="Arial" w:cs="Arial"/>
          <w:sz w:val="24"/>
          <w:szCs w:val="24"/>
        </w:rPr>
        <w:t>a</w:t>
      </w:r>
      <w:r w:rsidRPr="00B1244B">
        <w:rPr>
          <w:rFonts w:ascii="Arial" w:hAnsi="Arial" w:cs="Arial"/>
          <w:sz w:val="24"/>
          <w:szCs w:val="24"/>
        </w:rPr>
        <w:t>uditoría pues esta regula su control interno, entre otras.</w:t>
      </w:r>
    </w:p>
    <w:p w:rsidR="00B1244B" w:rsidRDefault="00B1244B" w:rsidP="00B1244B">
      <w:pPr>
        <w:jc w:val="both"/>
      </w:pPr>
    </w:p>
    <w:p w:rsidR="00B1244B" w:rsidRDefault="00B1244B" w:rsidP="00B1244B">
      <w:pPr>
        <w:jc w:val="both"/>
      </w:pPr>
    </w:p>
    <w:p w:rsidR="00B1244B" w:rsidRPr="00AA42C6" w:rsidRDefault="00B1244B" w:rsidP="00B124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Pr="00AA42C6">
        <w:rPr>
          <w:rFonts w:ascii="Arial" w:hAnsi="Arial" w:cs="Arial"/>
          <w:sz w:val="24"/>
          <w:szCs w:val="24"/>
        </w:rPr>
        <w:t xml:space="preserve">cenciatura </w:t>
      </w:r>
      <w:r>
        <w:rPr>
          <w:rFonts w:ascii="Arial" w:hAnsi="Arial" w:cs="Arial"/>
          <w:sz w:val="24"/>
          <w:szCs w:val="24"/>
        </w:rPr>
        <w:t>e</w:t>
      </w:r>
      <w:r w:rsidRPr="00AA42C6">
        <w:rPr>
          <w:rFonts w:ascii="Arial" w:hAnsi="Arial" w:cs="Arial"/>
          <w:sz w:val="24"/>
          <w:szCs w:val="24"/>
        </w:rPr>
        <w:t>n Contaduría Pública</w:t>
      </w:r>
      <w:r>
        <w:rPr>
          <w:rFonts w:ascii="Arial" w:hAnsi="Arial" w:cs="Arial"/>
          <w:sz w:val="24"/>
          <w:szCs w:val="24"/>
        </w:rPr>
        <w:t>, 2016.</w:t>
      </w:r>
    </w:p>
    <w:p w:rsidR="00B1244B" w:rsidRDefault="00B1244B" w:rsidP="00B1244B">
      <w:pPr>
        <w:jc w:val="both"/>
      </w:pPr>
    </w:p>
    <w:sectPr w:rsidR="00B12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4B"/>
    <w:rsid w:val="003066CC"/>
    <w:rsid w:val="008F3485"/>
    <w:rsid w:val="00B1244B"/>
    <w:rsid w:val="00D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6BD6F"/>
  <w15:chartTrackingRefBased/>
  <w15:docId w15:val="{5C36B940-4441-4D62-AD34-4BFA294C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2023-05-18T01:58:00Z</dcterms:created>
  <dcterms:modified xsi:type="dcterms:W3CDTF">2023-05-18T02:11:00Z</dcterms:modified>
</cp:coreProperties>
</file>