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 xml:space="preserve">“Propuesta de creación y organización de la unidad de auditoría interna para La Alcaldía Municipal </w:t>
      </w:r>
      <w:r>
        <w:rPr>
          <w:rFonts w:ascii="Arial" w:hAnsi="Arial" w:cs="Arial"/>
          <w:sz w:val="24"/>
          <w:szCs w:val="24"/>
        </w:rPr>
        <w:t>d</w:t>
      </w:r>
      <w:r w:rsidRPr="0076692F">
        <w:rPr>
          <w:rFonts w:ascii="Arial" w:hAnsi="Arial" w:cs="Arial"/>
          <w:sz w:val="24"/>
          <w:szCs w:val="24"/>
        </w:rPr>
        <w:t xml:space="preserve">e Texistepeque, Departamento </w:t>
      </w:r>
      <w:r>
        <w:rPr>
          <w:rFonts w:ascii="Arial" w:hAnsi="Arial" w:cs="Arial"/>
          <w:sz w:val="24"/>
          <w:szCs w:val="24"/>
        </w:rPr>
        <w:t>d</w:t>
      </w:r>
      <w:r w:rsidRPr="0076692F">
        <w:rPr>
          <w:rFonts w:ascii="Arial" w:hAnsi="Arial" w:cs="Arial"/>
          <w:sz w:val="24"/>
          <w:szCs w:val="24"/>
        </w:rPr>
        <w:t>e Santa Ana</w:t>
      </w:r>
    </w:p>
    <w:p w:rsid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p w:rsid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6692F">
        <w:rPr>
          <w:rFonts w:ascii="Arial" w:hAnsi="Arial" w:cs="Arial"/>
          <w:sz w:val="24"/>
          <w:szCs w:val="24"/>
        </w:rPr>
        <w:t>Martínez López, Carolina</w:t>
      </w:r>
      <w:bookmarkEnd w:id="0"/>
      <w:r w:rsidRPr="0076692F">
        <w:rPr>
          <w:rFonts w:ascii="Arial" w:hAnsi="Arial" w:cs="Arial"/>
          <w:sz w:val="24"/>
          <w:szCs w:val="24"/>
        </w:rPr>
        <w:t xml:space="preserve"> Esmeralda</w:t>
      </w:r>
    </w:p>
    <w:p w:rsid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>Rodríguez Quintana, Damari Suleyma</w:t>
      </w:r>
    </w:p>
    <w:p w:rsid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p w:rsidR="00B936D3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 xml:space="preserve">Eduardo Zepeda Guevara </w:t>
      </w: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 xml:space="preserve">Las municipalidades han sido creadas para satisfacer las necesidades de la población y promover el desarrollo de las comunidades que están bajo su jurisdicción. Para ello, además de los recursos propios que generan por el cobro de impuestos, tasas por servicios y demás contribuciones que la Ley les faculta, reciben una asignación anual equivalente al 7% del Presupuesto General del Estado, el cual es canalizado a través del Instituto Salvadoreño de Desarrollo Municipal (ISDEM) y del Fondo de Inversión Social para el Desarrollo Local (FISDL). Sin embargo, estos recursos resultan insuficientes para satisfacer las múltiples necesidades de la población en lo que respecta a servicios públicos y obras de infraestructura. </w:t>
      </w: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>Licenciatura en Contaduría Pública, 2009.</w:t>
      </w: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p w:rsidR="0076692F" w:rsidRPr="0076692F" w:rsidRDefault="0076692F" w:rsidP="0076692F">
      <w:pPr>
        <w:jc w:val="both"/>
        <w:rPr>
          <w:rFonts w:ascii="Arial" w:hAnsi="Arial" w:cs="Arial"/>
          <w:sz w:val="24"/>
          <w:szCs w:val="24"/>
        </w:rPr>
      </w:pPr>
    </w:p>
    <w:sectPr w:rsidR="0076692F" w:rsidRPr="00766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F"/>
    <w:rsid w:val="003066CC"/>
    <w:rsid w:val="0076692F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0A60B"/>
  <w15:chartTrackingRefBased/>
  <w15:docId w15:val="{5DAB014C-2F1D-4223-8C09-31C8B8F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2023-05-19T21:12:00Z</dcterms:created>
  <dcterms:modified xsi:type="dcterms:W3CDTF">2023-05-19T21:17:00Z</dcterms:modified>
</cp:coreProperties>
</file>