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AC" w:rsidRPr="002F0A22" w:rsidRDefault="002F0A22" w:rsidP="002F0A22">
      <w:pPr>
        <w:jc w:val="both"/>
        <w:rPr>
          <w:rFonts w:ascii="Arial" w:hAnsi="Arial" w:cs="Arial"/>
          <w:sz w:val="24"/>
          <w:szCs w:val="24"/>
        </w:rPr>
      </w:pPr>
      <w:r w:rsidRPr="002F0A22">
        <w:rPr>
          <w:rFonts w:ascii="Arial" w:hAnsi="Arial" w:cs="Arial"/>
          <w:sz w:val="24"/>
          <w:szCs w:val="24"/>
        </w:rPr>
        <w:t xml:space="preserve">Ley de Integración Monetaria, Sus </w:t>
      </w:r>
      <w:r>
        <w:rPr>
          <w:rFonts w:ascii="Arial" w:hAnsi="Arial" w:cs="Arial"/>
          <w:sz w:val="24"/>
          <w:szCs w:val="24"/>
        </w:rPr>
        <w:t>r</w:t>
      </w:r>
      <w:r w:rsidRPr="002F0A22">
        <w:rPr>
          <w:rFonts w:ascii="Arial" w:hAnsi="Arial" w:cs="Arial"/>
          <w:sz w:val="24"/>
          <w:szCs w:val="24"/>
        </w:rPr>
        <w:t xml:space="preserve">epercusiones </w:t>
      </w:r>
      <w:r>
        <w:rPr>
          <w:rFonts w:ascii="Arial" w:hAnsi="Arial" w:cs="Arial"/>
          <w:sz w:val="24"/>
          <w:szCs w:val="24"/>
        </w:rPr>
        <w:t>e</w:t>
      </w:r>
      <w:r w:rsidRPr="002F0A22">
        <w:rPr>
          <w:rFonts w:ascii="Arial" w:hAnsi="Arial" w:cs="Arial"/>
          <w:sz w:val="24"/>
          <w:szCs w:val="24"/>
        </w:rPr>
        <w:t xml:space="preserve">conómicas, </w:t>
      </w:r>
      <w:r>
        <w:rPr>
          <w:rFonts w:ascii="Arial" w:hAnsi="Arial" w:cs="Arial"/>
          <w:sz w:val="24"/>
          <w:szCs w:val="24"/>
        </w:rPr>
        <w:t>s</w:t>
      </w:r>
      <w:r w:rsidRPr="002F0A22">
        <w:rPr>
          <w:rFonts w:ascii="Arial" w:hAnsi="Arial" w:cs="Arial"/>
          <w:sz w:val="24"/>
          <w:szCs w:val="24"/>
        </w:rPr>
        <w:t xml:space="preserve">ociales Y </w:t>
      </w:r>
      <w:r>
        <w:rPr>
          <w:rFonts w:ascii="Arial" w:hAnsi="Arial" w:cs="Arial"/>
          <w:sz w:val="24"/>
          <w:szCs w:val="24"/>
        </w:rPr>
        <w:t>j</w:t>
      </w:r>
      <w:r w:rsidRPr="002F0A22">
        <w:rPr>
          <w:rFonts w:ascii="Arial" w:hAnsi="Arial" w:cs="Arial"/>
          <w:sz w:val="24"/>
          <w:szCs w:val="24"/>
        </w:rPr>
        <w:t>urídicas.</w:t>
      </w:r>
    </w:p>
    <w:p w:rsidR="002F0A22" w:rsidRPr="002F0A22" w:rsidRDefault="002F0A22" w:rsidP="002F0A22">
      <w:pPr>
        <w:jc w:val="both"/>
        <w:rPr>
          <w:rFonts w:ascii="Arial" w:hAnsi="Arial" w:cs="Arial"/>
          <w:sz w:val="24"/>
          <w:szCs w:val="24"/>
        </w:rPr>
      </w:pPr>
    </w:p>
    <w:p w:rsidR="002F0A22" w:rsidRPr="002F0A22" w:rsidRDefault="002F0A22" w:rsidP="002F0A22">
      <w:pPr>
        <w:jc w:val="both"/>
        <w:rPr>
          <w:rFonts w:ascii="Arial" w:hAnsi="Arial" w:cs="Arial"/>
          <w:sz w:val="24"/>
          <w:szCs w:val="24"/>
        </w:rPr>
      </w:pPr>
      <w:r w:rsidRPr="002F0A22">
        <w:rPr>
          <w:rFonts w:ascii="Arial" w:hAnsi="Arial" w:cs="Arial"/>
          <w:sz w:val="24"/>
          <w:szCs w:val="24"/>
        </w:rPr>
        <w:t xml:space="preserve">El Derecho Constitucional por ser fundamental y fundamentador se convierte en la vara con que se miden todas las leyes, las cuales pese a su presunción de constitucionalidad no siempre convergen con la misma, </w:t>
      </w:r>
      <w:r w:rsidRPr="002F0A22">
        <w:rPr>
          <w:rFonts w:ascii="Arial" w:hAnsi="Arial" w:cs="Arial"/>
          <w:sz w:val="24"/>
          <w:szCs w:val="24"/>
        </w:rPr>
        <w:t>aun</w:t>
      </w:r>
      <w:r w:rsidRPr="002F0A22">
        <w:rPr>
          <w:rFonts w:ascii="Arial" w:hAnsi="Arial" w:cs="Arial"/>
          <w:sz w:val="24"/>
          <w:szCs w:val="24"/>
        </w:rPr>
        <w:t xml:space="preserve"> cuando su validez pende de la medida en que se ajusten en todas y cada una de sus partes a la norma básica. Sin embargo aunque lo anterior resulte claro e incuestionable llevarlo a la </w:t>
      </w:r>
      <w:r w:rsidRPr="002F0A22">
        <w:rPr>
          <w:rFonts w:ascii="Arial" w:hAnsi="Arial" w:cs="Arial"/>
          <w:sz w:val="24"/>
          <w:szCs w:val="24"/>
        </w:rPr>
        <w:t>práctica</w:t>
      </w:r>
      <w:r w:rsidRPr="002F0A22">
        <w:rPr>
          <w:rFonts w:ascii="Arial" w:hAnsi="Arial" w:cs="Arial"/>
          <w:sz w:val="24"/>
          <w:szCs w:val="24"/>
        </w:rPr>
        <w:t xml:space="preserve"> requiere a la realización de una ardua labor analítica e interpretativa; que no se agota en la lectura de los textos en cuestión a fin de confrontarlos mutuamente, sino que en la mayoría de ocasiones se vuelve necesario acudir a sus antecedentes históricos, a enfoques doctrinarios y además a la inclusión de tópicos </w:t>
      </w:r>
      <w:r w:rsidRPr="002F0A22">
        <w:rPr>
          <w:rFonts w:ascii="Arial" w:hAnsi="Arial" w:cs="Arial"/>
          <w:sz w:val="24"/>
          <w:szCs w:val="24"/>
        </w:rPr>
        <w:t>extrajurídicos</w:t>
      </w:r>
      <w:r w:rsidRPr="002F0A22">
        <w:rPr>
          <w:rFonts w:ascii="Arial" w:hAnsi="Arial" w:cs="Arial"/>
          <w:sz w:val="24"/>
          <w:szCs w:val="24"/>
        </w:rPr>
        <w:t xml:space="preserve"> que inciden en la realidad que a su vez es la fuente material de toda norma jurídica.</w:t>
      </w:r>
    </w:p>
    <w:p w:rsidR="002F0A22" w:rsidRPr="002F0A22" w:rsidRDefault="002F0A22" w:rsidP="002F0A22">
      <w:pPr>
        <w:jc w:val="both"/>
        <w:rPr>
          <w:rFonts w:ascii="Arial" w:hAnsi="Arial" w:cs="Arial"/>
          <w:sz w:val="24"/>
          <w:szCs w:val="24"/>
        </w:rPr>
      </w:pPr>
    </w:p>
    <w:p w:rsidR="002F0A22" w:rsidRDefault="002F0A22" w:rsidP="002F0A22">
      <w:pPr>
        <w:jc w:val="both"/>
        <w:rPr>
          <w:rFonts w:ascii="Arial" w:hAnsi="Arial" w:cs="Arial"/>
          <w:sz w:val="24"/>
          <w:szCs w:val="24"/>
        </w:rPr>
      </w:pPr>
      <w:r w:rsidRPr="002F0A22">
        <w:rPr>
          <w:rFonts w:ascii="Arial" w:hAnsi="Arial" w:cs="Arial"/>
          <w:sz w:val="24"/>
          <w:szCs w:val="24"/>
        </w:rPr>
        <w:t xml:space="preserve">Chávez Ascencio; Wilson Alexander </w:t>
      </w:r>
    </w:p>
    <w:p w:rsidR="002F0A22" w:rsidRDefault="002F0A22" w:rsidP="002F0A22">
      <w:pPr>
        <w:jc w:val="both"/>
        <w:rPr>
          <w:rFonts w:ascii="Arial" w:hAnsi="Arial" w:cs="Arial"/>
          <w:sz w:val="24"/>
          <w:szCs w:val="24"/>
        </w:rPr>
      </w:pPr>
      <w:r w:rsidRPr="002F0A22">
        <w:rPr>
          <w:rFonts w:ascii="Arial" w:hAnsi="Arial" w:cs="Arial"/>
          <w:sz w:val="24"/>
          <w:szCs w:val="24"/>
        </w:rPr>
        <w:t xml:space="preserve">López Mayorga; Christian Alexander </w:t>
      </w:r>
    </w:p>
    <w:p w:rsidR="002F0A22" w:rsidRDefault="002F0A22" w:rsidP="002F0A22">
      <w:pPr>
        <w:jc w:val="both"/>
        <w:rPr>
          <w:rFonts w:ascii="Arial" w:hAnsi="Arial" w:cs="Arial"/>
          <w:sz w:val="24"/>
          <w:szCs w:val="24"/>
        </w:rPr>
      </w:pPr>
      <w:r w:rsidRPr="002F0A22">
        <w:rPr>
          <w:rFonts w:ascii="Arial" w:hAnsi="Arial" w:cs="Arial"/>
          <w:sz w:val="24"/>
          <w:szCs w:val="24"/>
        </w:rPr>
        <w:t>Martínez Gómez; Griselda Aracely</w:t>
      </w:r>
    </w:p>
    <w:p w:rsidR="002F0A22" w:rsidRPr="002F0A22" w:rsidRDefault="002F0A22" w:rsidP="002F0A22">
      <w:pPr>
        <w:jc w:val="both"/>
        <w:rPr>
          <w:rFonts w:ascii="Arial" w:hAnsi="Arial" w:cs="Arial"/>
          <w:sz w:val="24"/>
          <w:szCs w:val="24"/>
        </w:rPr>
      </w:pPr>
      <w:r w:rsidRPr="002F0A22">
        <w:rPr>
          <w:rFonts w:ascii="Arial" w:hAnsi="Arial" w:cs="Arial"/>
          <w:sz w:val="24"/>
          <w:szCs w:val="24"/>
        </w:rPr>
        <w:t xml:space="preserve"> Sanabria Maldonado; Héctor Ernesto</w:t>
      </w:r>
    </w:p>
    <w:p w:rsidR="002F0A22" w:rsidRPr="002F0A22" w:rsidRDefault="002F0A22" w:rsidP="002F0A22">
      <w:pPr>
        <w:jc w:val="both"/>
        <w:rPr>
          <w:rFonts w:ascii="Arial" w:hAnsi="Arial" w:cs="Arial"/>
          <w:sz w:val="24"/>
          <w:szCs w:val="24"/>
        </w:rPr>
      </w:pPr>
      <w:r w:rsidRPr="002F0A22">
        <w:rPr>
          <w:rFonts w:ascii="Arial" w:hAnsi="Arial" w:cs="Arial"/>
          <w:sz w:val="24"/>
          <w:szCs w:val="24"/>
        </w:rPr>
        <w:t>Licenciado En Cienci</w:t>
      </w:r>
      <w:bookmarkStart w:id="0" w:name="_GoBack"/>
      <w:bookmarkEnd w:id="0"/>
      <w:r w:rsidRPr="002F0A22">
        <w:rPr>
          <w:rFonts w:ascii="Arial" w:hAnsi="Arial" w:cs="Arial"/>
          <w:sz w:val="24"/>
          <w:szCs w:val="24"/>
        </w:rPr>
        <w:t>as Jurídicas,</w:t>
      </w:r>
    </w:p>
    <w:sectPr w:rsidR="002F0A22" w:rsidRPr="002F0A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22"/>
    <w:rsid w:val="002C0DAC"/>
    <w:rsid w:val="002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A7208"/>
  <w15:chartTrackingRefBased/>
  <w15:docId w15:val="{24451A67-C0FC-4BCB-8277-277824C8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1</cp:revision>
  <dcterms:created xsi:type="dcterms:W3CDTF">2023-04-13T17:10:00Z</dcterms:created>
  <dcterms:modified xsi:type="dcterms:W3CDTF">2023-04-13T17:18:00Z</dcterms:modified>
</cp:coreProperties>
</file>