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Default="00BF26D1" w:rsidP="00BF26D1">
      <w:pPr>
        <w:jc w:val="both"/>
        <w:rPr>
          <w:rFonts w:ascii="Arial" w:hAnsi="Arial" w:cs="Arial"/>
          <w:sz w:val="24"/>
          <w:szCs w:val="24"/>
        </w:rPr>
      </w:pPr>
      <w:r w:rsidRPr="00BF26D1">
        <w:rPr>
          <w:rFonts w:ascii="Arial" w:hAnsi="Arial" w:cs="Arial"/>
          <w:sz w:val="24"/>
          <w:szCs w:val="24"/>
        </w:rPr>
        <w:t xml:space="preserve">Estudio </w:t>
      </w:r>
      <w:r>
        <w:rPr>
          <w:rFonts w:ascii="Arial" w:hAnsi="Arial" w:cs="Arial"/>
          <w:sz w:val="24"/>
          <w:szCs w:val="24"/>
        </w:rPr>
        <w:t>t</w:t>
      </w:r>
      <w:r w:rsidRPr="00BF26D1">
        <w:rPr>
          <w:rFonts w:ascii="Arial" w:hAnsi="Arial" w:cs="Arial"/>
          <w:sz w:val="24"/>
          <w:szCs w:val="24"/>
        </w:rPr>
        <w:t xml:space="preserve">eórico </w:t>
      </w:r>
      <w:r>
        <w:rPr>
          <w:rFonts w:ascii="Arial" w:hAnsi="Arial" w:cs="Arial"/>
          <w:sz w:val="24"/>
          <w:szCs w:val="24"/>
        </w:rPr>
        <w:t>p</w:t>
      </w:r>
      <w:r w:rsidRPr="00BF26D1">
        <w:rPr>
          <w:rFonts w:ascii="Arial" w:hAnsi="Arial" w:cs="Arial"/>
          <w:sz w:val="24"/>
          <w:szCs w:val="24"/>
        </w:rPr>
        <w:t xml:space="preserve">ractico del </w:t>
      </w:r>
      <w:r>
        <w:rPr>
          <w:rFonts w:ascii="Arial" w:hAnsi="Arial" w:cs="Arial"/>
          <w:sz w:val="24"/>
          <w:szCs w:val="24"/>
        </w:rPr>
        <w:t>p</w:t>
      </w:r>
      <w:r w:rsidRPr="00BF26D1">
        <w:rPr>
          <w:rFonts w:ascii="Arial" w:hAnsi="Arial" w:cs="Arial"/>
          <w:sz w:val="24"/>
          <w:szCs w:val="24"/>
        </w:rPr>
        <w:t xml:space="preserve">rincipio de </w:t>
      </w:r>
      <w:r>
        <w:rPr>
          <w:rFonts w:ascii="Arial" w:hAnsi="Arial" w:cs="Arial"/>
          <w:sz w:val="24"/>
          <w:szCs w:val="24"/>
        </w:rPr>
        <w:t>o</w:t>
      </w:r>
      <w:r w:rsidRPr="00BF26D1">
        <w:rPr>
          <w:rFonts w:ascii="Arial" w:hAnsi="Arial" w:cs="Arial"/>
          <w:sz w:val="24"/>
          <w:szCs w:val="24"/>
        </w:rPr>
        <w:t>ralidad en el</w:t>
      </w:r>
      <w:r w:rsidRPr="00BF26D1">
        <w:rPr>
          <w:rFonts w:ascii="Arial" w:hAnsi="Arial" w:cs="Arial"/>
          <w:sz w:val="24"/>
          <w:szCs w:val="24"/>
        </w:rPr>
        <w:t xml:space="preserve"> </w:t>
      </w:r>
      <w:r w:rsidRPr="00BF26D1">
        <w:rPr>
          <w:rFonts w:ascii="Arial" w:hAnsi="Arial" w:cs="Arial"/>
          <w:sz w:val="24"/>
          <w:szCs w:val="24"/>
        </w:rPr>
        <w:t>Proceso Penal Salvadoreño</w:t>
      </w:r>
    </w:p>
    <w:p w:rsidR="00BF26D1" w:rsidRPr="00BF26D1" w:rsidRDefault="00BF26D1" w:rsidP="00BF26D1">
      <w:pPr>
        <w:jc w:val="both"/>
        <w:rPr>
          <w:rFonts w:ascii="Arial" w:hAnsi="Arial" w:cs="Arial"/>
          <w:sz w:val="24"/>
          <w:szCs w:val="24"/>
        </w:rPr>
      </w:pPr>
    </w:p>
    <w:p w:rsidR="00BF26D1" w:rsidRPr="00BF26D1" w:rsidRDefault="00BF26D1" w:rsidP="00BF26D1">
      <w:pPr>
        <w:jc w:val="both"/>
        <w:rPr>
          <w:rFonts w:ascii="Arial" w:hAnsi="Arial" w:cs="Arial"/>
          <w:sz w:val="24"/>
          <w:szCs w:val="24"/>
        </w:rPr>
      </w:pPr>
      <w:r w:rsidRPr="00BF26D1">
        <w:rPr>
          <w:rFonts w:ascii="Arial" w:hAnsi="Arial" w:cs="Arial"/>
          <w:sz w:val="24"/>
          <w:szCs w:val="24"/>
        </w:rPr>
        <w:t>González Pacheco, Pablo Rodrigo</w:t>
      </w:r>
    </w:p>
    <w:p w:rsidR="00BF26D1" w:rsidRPr="00BF26D1" w:rsidRDefault="00BF26D1" w:rsidP="00BF26D1">
      <w:pPr>
        <w:jc w:val="both"/>
        <w:rPr>
          <w:rFonts w:ascii="Arial" w:hAnsi="Arial" w:cs="Arial"/>
          <w:sz w:val="24"/>
          <w:szCs w:val="24"/>
        </w:rPr>
      </w:pPr>
      <w:r w:rsidRPr="00BF26D1">
        <w:rPr>
          <w:rFonts w:ascii="Arial" w:hAnsi="Arial" w:cs="Arial"/>
          <w:sz w:val="24"/>
          <w:szCs w:val="24"/>
        </w:rPr>
        <w:t>Linares De Estévez, Gloria Lizeth</w:t>
      </w:r>
    </w:p>
    <w:p w:rsidR="00BF26D1" w:rsidRPr="00BF26D1" w:rsidRDefault="00BF26D1" w:rsidP="00BF26D1">
      <w:pPr>
        <w:jc w:val="both"/>
        <w:rPr>
          <w:rFonts w:ascii="Arial" w:hAnsi="Arial" w:cs="Arial"/>
          <w:sz w:val="24"/>
          <w:szCs w:val="24"/>
        </w:rPr>
      </w:pPr>
      <w:r w:rsidRPr="00BF26D1">
        <w:rPr>
          <w:rFonts w:ascii="Arial" w:hAnsi="Arial" w:cs="Arial"/>
          <w:sz w:val="24"/>
          <w:szCs w:val="24"/>
        </w:rPr>
        <w:t>Pinzón Gómez, Luis Alonso</w:t>
      </w:r>
    </w:p>
    <w:p w:rsidR="00BF26D1" w:rsidRPr="00BF26D1" w:rsidRDefault="00BF26D1" w:rsidP="00BF26D1">
      <w:pPr>
        <w:jc w:val="both"/>
        <w:rPr>
          <w:rFonts w:ascii="Arial" w:hAnsi="Arial" w:cs="Arial"/>
          <w:sz w:val="24"/>
          <w:szCs w:val="24"/>
        </w:rPr>
      </w:pPr>
      <w:r w:rsidRPr="00BF26D1">
        <w:rPr>
          <w:rFonts w:ascii="Arial" w:hAnsi="Arial" w:cs="Arial"/>
          <w:sz w:val="24"/>
          <w:szCs w:val="24"/>
        </w:rPr>
        <w:t>Zumba De Morales, Marlene Noemí</w:t>
      </w:r>
    </w:p>
    <w:p w:rsidR="00BF26D1" w:rsidRPr="00BF26D1" w:rsidRDefault="00BF26D1" w:rsidP="00BF26D1">
      <w:pPr>
        <w:rPr>
          <w:rFonts w:ascii="Arial" w:hAnsi="Arial" w:cs="Arial"/>
          <w:sz w:val="24"/>
          <w:szCs w:val="24"/>
        </w:rPr>
      </w:pPr>
    </w:p>
    <w:p w:rsidR="00BF26D1" w:rsidRPr="00BF26D1" w:rsidRDefault="00BF26D1" w:rsidP="00BF26D1">
      <w:pPr>
        <w:jc w:val="both"/>
        <w:rPr>
          <w:rFonts w:ascii="Arial" w:hAnsi="Arial" w:cs="Arial"/>
          <w:sz w:val="24"/>
          <w:szCs w:val="24"/>
        </w:rPr>
      </w:pPr>
      <w:r w:rsidRPr="00BF26D1">
        <w:rPr>
          <w:rFonts w:ascii="Arial" w:hAnsi="Arial" w:cs="Arial"/>
          <w:sz w:val="24"/>
          <w:szCs w:val="24"/>
        </w:rPr>
        <w:t>A partir de abril del año de 1998, el sistema penal salvadoreño fue</w:t>
      </w:r>
      <w:r w:rsidRPr="00BF26D1">
        <w:rPr>
          <w:rFonts w:ascii="Arial" w:hAnsi="Arial" w:cs="Arial"/>
          <w:sz w:val="24"/>
          <w:szCs w:val="24"/>
        </w:rPr>
        <w:t xml:space="preserve"> </w:t>
      </w:r>
      <w:r w:rsidRPr="00BF26D1">
        <w:rPr>
          <w:rFonts w:ascii="Arial" w:hAnsi="Arial" w:cs="Arial"/>
          <w:sz w:val="24"/>
          <w:szCs w:val="24"/>
        </w:rPr>
        <w:t>modificado por una nueva normativa de naturaleza penal y procesal penal. El</w:t>
      </w:r>
      <w:r w:rsidRPr="00BF26D1">
        <w:rPr>
          <w:rFonts w:ascii="Arial" w:hAnsi="Arial" w:cs="Arial"/>
          <w:sz w:val="24"/>
          <w:szCs w:val="24"/>
        </w:rPr>
        <w:t xml:space="preserve"> </w:t>
      </w:r>
      <w:r w:rsidRPr="00BF26D1">
        <w:rPr>
          <w:rFonts w:ascii="Arial" w:hAnsi="Arial" w:cs="Arial"/>
          <w:sz w:val="24"/>
          <w:szCs w:val="24"/>
        </w:rPr>
        <w:t>legislador salvadoreño justifico dicha medida, con la finalidad de convertir el</w:t>
      </w:r>
      <w:r w:rsidRPr="00BF26D1">
        <w:rPr>
          <w:rFonts w:ascii="Arial" w:hAnsi="Arial" w:cs="Arial"/>
          <w:sz w:val="24"/>
          <w:szCs w:val="24"/>
        </w:rPr>
        <w:t xml:space="preserve"> </w:t>
      </w:r>
      <w:r w:rsidRPr="00BF26D1">
        <w:rPr>
          <w:rFonts w:ascii="Arial" w:hAnsi="Arial" w:cs="Arial"/>
          <w:sz w:val="24"/>
          <w:szCs w:val="24"/>
        </w:rPr>
        <w:t>proceso penal en un proceso sencillo, con celeridad y respeto a los derechos,</w:t>
      </w:r>
      <w:r w:rsidRPr="00BF26D1">
        <w:rPr>
          <w:rFonts w:ascii="Arial" w:hAnsi="Arial" w:cs="Arial"/>
          <w:sz w:val="24"/>
          <w:szCs w:val="24"/>
        </w:rPr>
        <w:t xml:space="preserve"> </w:t>
      </w:r>
      <w:r w:rsidRPr="00BF26D1">
        <w:rPr>
          <w:rFonts w:ascii="Arial" w:hAnsi="Arial" w:cs="Arial"/>
          <w:sz w:val="24"/>
          <w:szCs w:val="24"/>
        </w:rPr>
        <w:t>garantías y principios constitucionales. Luego de varios años de intenso</w:t>
      </w:r>
      <w:r w:rsidRPr="00BF26D1">
        <w:rPr>
          <w:rFonts w:ascii="Arial" w:hAnsi="Arial" w:cs="Arial"/>
          <w:sz w:val="24"/>
          <w:szCs w:val="24"/>
        </w:rPr>
        <w:t xml:space="preserve"> </w:t>
      </w:r>
      <w:r w:rsidRPr="00BF26D1">
        <w:rPr>
          <w:rFonts w:ascii="Arial" w:hAnsi="Arial" w:cs="Arial"/>
          <w:sz w:val="24"/>
          <w:szCs w:val="24"/>
        </w:rPr>
        <w:t>análisis, estudio y reflexión, el Estado salvadoreño, al igual que otros estados</w:t>
      </w:r>
      <w:r w:rsidRPr="00BF26D1">
        <w:rPr>
          <w:rFonts w:ascii="Arial" w:hAnsi="Arial" w:cs="Arial"/>
          <w:sz w:val="24"/>
          <w:szCs w:val="24"/>
        </w:rPr>
        <w:t xml:space="preserve"> </w:t>
      </w:r>
      <w:r w:rsidRPr="00BF26D1">
        <w:rPr>
          <w:rFonts w:ascii="Arial" w:hAnsi="Arial" w:cs="Arial"/>
          <w:sz w:val="24"/>
          <w:szCs w:val="24"/>
        </w:rPr>
        <w:t>de Latinoamérica, reformo su Código Procesal Penal de una manera sustancial,</w:t>
      </w:r>
      <w:r w:rsidRPr="00BF26D1">
        <w:rPr>
          <w:rFonts w:ascii="Arial" w:hAnsi="Arial" w:cs="Arial"/>
          <w:sz w:val="24"/>
          <w:szCs w:val="24"/>
        </w:rPr>
        <w:t xml:space="preserve"> </w:t>
      </w:r>
      <w:r w:rsidRPr="00BF26D1">
        <w:rPr>
          <w:rFonts w:ascii="Arial" w:hAnsi="Arial" w:cs="Arial"/>
          <w:sz w:val="24"/>
          <w:szCs w:val="24"/>
        </w:rPr>
        <w:t>en este proceso de evolución y transición hacia un nuevo sistema de</w:t>
      </w:r>
      <w:r w:rsidRPr="00BF26D1">
        <w:rPr>
          <w:rFonts w:ascii="Arial" w:hAnsi="Arial" w:cs="Arial"/>
          <w:sz w:val="24"/>
          <w:szCs w:val="24"/>
        </w:rPr>
        <w:t xml:space="preserve"> </w:t>
      </w:r>
      <w:r w:rsidRPr="00BF26D1">
        <w:rPr>
          <w:rFonts w:ascii="Arial" w:hAnsi="Arial" w:cs="Arial"/>
          <w:sz w:val="24"/>
          <w:szCs w:val="24"/>
        </w:rPr>
        <w:t>enjuiciamiento</w:t>
      </w:r>
      <w:r w:rsidRPr="00BF26D1">
        <w:rPr>
          <w:rFonts w:ascii="Arial" w:hAnsi="Arial" w:cs="Arial"/>
          <w:sz w:val="24"/>
          <w:szCs w:val="24"/>
        </w:rPr>
        <w:t>.</w:t>
      </w:r>
    </w:p>
    <w:p w:rsidR="00BF26D1" w:rsidRPr="00BF26D1" w:rsidRDefault="00BF26D1" w:rsidP="00BF26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26D1" w:rsidRPr="00BF26D1" w:rsidRDefault="00BF26D1" w:rsidP="00BF26D1">
      <w:pPr>
        <w:rPr>
          <w:rFonts w:ascii="Arial" w:hAnsi="Arial" w:cs="Arial"/>
          <w:sz w:val="24"/>
          <w:szCs w:val="24"/>
        </w:rPr>
      </w:pPr>
      <w:r w:rsidRPr="00BF26D1">
        <w:rPr>
          <w:rFonts w:ascii="Arial" w:hAnsi="Arial" w:cs="Arial"/>
          <w:sz w:val="24"/>
          <w:szCs w:val="24"/>
        </w:rPr>
        <w:t>Licenciado(A) En Ciencias Jurídicas, 2016.</w:t>
      </w:r>
    </w:p>
    <w:p w:rsidR="00BF26D1" w:rsidRDefault="00BF26D1" w:rsidP="00BF26D1">
      <w:pPr>
        <w:jc w:val="both"/>
      </w:pPr>
    </w:p>
    <w:sectPr w:rsidR="00BF2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1"/>
    <w:rsid w:val="003066CC"/>
    <w:rsid w:val="008F3485"/>
    <w:rsid w:val="00B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7419D"/>
  <w15:chartTrackingRefBased/>
  <w15:docId w15:val="{E4B7A092-EE22-4D59-A216-74437AF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2023-03-19T01:40:00Z</dcterms:created>
  <dcterms:modified xsi:type="dcterms:W3CDTF">2023-03-19T01:52:00Z</dcterms:modified>
</cp:coreProperties>
</file>