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D3" w:rsidRPr="00A24BF2" w:rsidRDefault="00A24BF2" w:rsidP="00A24BF2">
      <w:pPr>
        <w:jc w:val="both"/>
        <w:rPr>
          <w:rFonts w:ascii="Arial" w:hAnsi="Arial" w:cs="Arial"/>
          <w:sz w:val="24"/>
          <w:szCs w:val="24"/>
        </w:rPr>
      </w:pPr>
      <w:r w:rsidRPr="00A24BF2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i</w:t>
      </w:r>
      <w:r w:rsidRPr="00A24BF2">
        <w:rPr>
          <w:rFonts w:ascii="Arial" w:hAnsi="Arial" w:cs="Arial"/>
          <w:sz w:val="24"/>
          <w:szCs w:val="24"/>
        </w:rPr>
        <w:t xml:space="preserve">mproponibilidad </w:t>
      </w:r>
      <w:r>
        <w:rPr>
          <w:rFonts w:ascii="Arial" w:hAnsi="Arial" w:cs="Arial"/>
          <w:sz w:val="24"/>
          <w:szCs w:val="24"/>
        </w:rPr>
        <w:t>e</w:t>
      </w:r>
      <w:r w:rsidRPr="00A24B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A24BF2">
        <w:rPr>
          <w:rFonts w:ascii="Arial" w:hAnsi="Arial" w:cs="Arial"/>
          <w:sz w:val="24"/>
          <w:szCs w:val="24"/>
        </w:rPr>
        <w:t xml:space="preserve">nadmisibilidad </w:t>
      </w:r>
      <w:r>
        <w:rPr>
          <w:rFonts w:ascii="Arial" w:hAnsi="Arial" w:cs="Arial"/>
          <w:sz w:val="24"/>
          <w:szCs w:val="24"/>
        </w:rPr>
        <w:t>d</w:t>
      </w:r>
      <w:r w:rsidRPr="00A24BF2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A24BF2">
        <w:rPr>
          <w:rFonts w:ascii="Arial" w:hAnsi="Arial" w:cs="Arial"/>
          <w:sz w:val="24"/>
          <w:szCs w:val="24"/>
        </w:rPr>
        <w:t xml:space="preserve">a </w:t>
      </w:r>
      <w:r w:rsidR="0070174B">
        <w:rPr>
          <w:rFonts w:ascii="Arial" w:hAnsi="Arial" w:cs="Arial"/>
          <w:sz w:val="24"/>
          <w:szCs w:val="24"/>
        </w:rPr>
        <w:t>d</w:t>
      </w:r>
      <w:r w:rsidRPr="00A24BF2">
        <w:rPr>
          <w:rFonts w:ascii="Arial" w:hAnsi="Arial" w:cs="Arial"/>
          <w:sz w:val="24"/>
          <w:szCs w:val="24"/>
        </w:rPr>
        <w:t xml:space="preserve">emanda </w:t>
      </w:r>
      <w:r w:rsidR="0070174B">
        <w:rPr>
          <w:rFonts w:ascii="Arial" w:hAnsi="Arial" w:cs="Arial"/>
          <w:sz w:val="24"/>
          <w:szCs w:val="24"/>
        </w:rPr>
        <w:t>e</w:t>
      </w:r>
      <w:r w:rsidRPr="00A24BF2">
        <w:rPr>
          <w:rFonts w:ascii="Arial" w:hAnsi="Arial" w:cs="Arial"/>
          <w:sz w:val="24"/>
          <w:szCs w:val="24"/>
        </w:rPr>
        <w:t xml:space="preserve">n </w:t>
      </w:r>
      <w:r w:rsidR="0070174B">
        <w:rPr>
          <w:rFonts w:ascii="Arial" w:hAnsi="Arial" w:cs="Arial"/>
          <w:sz w:val="24"/>
          <w:szCs w:val="24"/>
        </w:rPr>
        <w:t>e</w:t>
      </w:r>
      <w:r w:rsidRPr="00A24BF2">
        <w:rPr>
          <w:rFonts w:ascii="Arial" w:hAnsi="Arial" w:cs="Arial"/>
          <w:sz w:val="24"/>
          <w:szCs w:val="24"/>
        </w:rPr>
        <w:t xml:space="preserve">l </w:t>
      </w:r>
      <w:r w:rsidR="0070174B">
        <w:rPr>
          <w:rFonts w:ascii="Arial" w:hAnsi="Arial" w:cs="Arial"/>
          <w:sz w:val="24"/>
          <w:szCs w:val="24"/>
        </w:rPr>
        <w:t>p</w:t>
      </w:r>
      <w:r w:rsidRPr="00A24BF2">
        <w:rPr>
          <w:rFonts w:ascii="Arial" w:hAnsi="Arial" w:cs="Arial"/>
          <w:sz w:val="24"/>
          <w:szCs w:val="24"/>
        </w:rPr>
        <w:t xml:space="preserve">roceso </w:t>
      </w:r>
      <w:r w:rsidR="0070174B">
        <w:rPr>
          <w:rFonts w:ascii="Arial" w:hAnsi="Arial" w:cs="Arial"/>
          <w:sz w:val="24"/>
          <w:szCs w:val="24"/>
        </w:rPr>
        <w:t>c</w:t>
      </w:r>
      <w:r w:rsidR="0070174B" w:rsidRPr="00A24BF2">
        <w:rPr>
          <w:rFonts w:ascii="Arial" w:hAnsi="Arial" w:cs="Arial"/>
          <w:sz w:val="24"/>
          <w:szCs w:val="24"/>
        </w:rPr>
        <w:t>omún</w:t>
      </w:r>
      <w:r w:rsidRPr="00A24BF2">
        <w:rPr>
          <w:rFonts w:ascii="Arial" w:hAnsi="Arial" w:cs="Arial"/>
          <w:sz w:val="24"/>
          <w:szCs w:val="24"/>
        </w:rPr>
        <w:t xml:space="preserve"> </w:t>
      </w:r>
      <w:r w:rsidR="0070174B">
        <w:rPr>
          <w:rFonts w:ascii="Arial" w:hAnsi="Arial" w:cs="Arial"/>
          <w:sz w:val="24"/>
          <w:szCs w:val="24"/>
        </w:rPr>
        <w:t>e</w:t>
      </w:r>
      <w:r w:rsidRPr="00A24BF2">
        <w:rPr>
          <w:rFonts w:ascii="Arial" w:hAnsi="Arial" w:cs="Arial"/>
          <w:sz w:val="24"/>
          <w:szCs w:val="24"/>
        </w:rPr>
        <w:t xml:space="preserve">n </w:t>
      </w:r>
      <w:r w:rsidR="0070174B">
        <w:rPr>
          <w:rFonts w:ascii="Arial" w:hAnsi="Arial" w:cs="Arial"/>
          <w:sz w:val="24"/>
          <w:szCs w:val="24"/>
        </w:rPr>
        <w:t>m</w:t>
      </w:r>
      <w:r w:rsidRPr="00A24BF2">
        <w:rPr>
          <w:rFonts w:ascii="Arial" w:hAnsi="Arial" w:cs="Arial"/>
          <w:sz w:val="24"/>
          <w:szCs w:val="24"/>
        </w:rPr>
        <w:t xml:space="preserve">ateria </w:t>
      </w:r>
      <w:r w:rsidR="0070174B">
        <w:rPr>
          <w:rFonts w:ascii="Arial" w:hAnsi="Arial" w:cs="Arial"/>
          <w:sz w:val="24"/>
          <w:szCs w:val="24"/>
        </w:rPr>
        <w:t>c</w:t>
      </w:r>
      <w:r w:rsidRPr="00A24BF2">
        <w:rPr>
          <w:rFonts w:ascii="Arial" w:hAnsi="Arial" w:cs="Arial"/>
          <w:sz w:val="24"/>
          <w:szCs w:val="24"/>
        </w:rPr>
        <w:t xml:space="preserve">ivil </w:t>
      </w:r>
      <w:r w:rsidR="0070174B">
        <w:rPr>
          <w:rFonts w:ascii="Arial" w:hAnsi="Arial" w:cs="Arial"/>
          <w:sz w:val="24"/>
          <w:szCs w:val="24"/>
        </w:rPr>
        <w:t>y</w:t>
      </w:r>
      <w:r w:rsidRPr="00A24BF2">
        <w:rPr>
          <w:rFonts w:ascii="Arial" w:hAnsi="Arial" w:cs="Arial"/>
          <w:sz w:val="24"/>
          <w:szCs w:val="24"/>
        </w:rPr>
        <w:t xml:space="preserve"> </w:t>
      </w:r>
      <w:r w:rsidR="0070174B">
        <w:rPr>
          <w:rFonts w:ascii="Arial" w:hAnsi="Arial" w:cs="Arial"/>
          <w:sz w:val="24"/>
          <w:szCs w:val="24"/>
        </w:rPr>
        <w:t>m</w:t>
      </w:r>
      <w:r w:rsidRPr="00A24BF2">
        <w:rPr>
          <w:rFonts w:ascii="Arial" w:hAnsi="Arial" w:cs="Arial"/>
          <w:sz w:val="24"/>
          <w:szCs w:val="24"/>
        </w:rPr>
        <w:t>ercantil</w:t>
      </w:r>
    </w:p>
    <w:p w:rsidR="00A24BF2" w:rsidRPr="00A24BF2" w:rsidRDefault="00A24BF2" w:rsidP="00A24BF2">
      <w:pPr>
        <w:jc w:val="both"/>
        <w:rPr>
          <w:rFonts w:ascii="Arial" w:hAnsi="Arial" w:cs="Arial"/>
          <w:sz w:val="24"/>
          <w:szCs w:val="24"/>
        </w:rPr>
      </w:pPr>
    </w:p>
    <w:p w:rsidR="00A24BF2" w:rsidRPr="00A24BF2" w:rsidRDefault="00A24BF2" w:rsidP="00A24BF2">
      <w:pPr>
        <w:jc w:val="both"/>
        <w:rPr>
          <w:rFonts w:ascii="Arial" w:hAnsi="Arial" w:cs="Arial"/>
          <w:sz w:val="24"/>
          <w:szCs w:val="24"/>
        </w:rPr>
      </w:pPr>
      <w:r w:rsidRPr="00A24BF2">
        <w:rPr>
          <w:rFonts w:ascii="Arial" w:hAnsi="Arial" w:cs="Arial"/>
          <w:sz w:val="24"/>
          <w:szCs w:val="24"/>
        </w:rPr>
        <w:t>Díaz Ramírez, José Pascual</w:t>
      </w:r>
    </w:p>
    <w:p w:rsidR="00A24BF2" w:rsidRPr="00A24BF2" w:rsidRDefault="00A24BF2" w:rsidP="00A24BF2">
      <w:pPr>
        <w:jc w:val="both"/>
        <w:rPr>
          <w:rFonts w:ascii="Arial" w:hAnsi="Arial" w:cs="Arial"/>
          <w:sz w:val="24"/>
          <w:szCs w:val="24"/>
        </w:rPr>
      </w:pPr>
      <w:r w:rsidRPr="00A24BF2">
        <w:rPr>
          <w:rFonts w:ascii="Arial" w:hAnsi="Arial" w:cs="Arial"/>
          <w:sz w:val="24"/>
          <w:szCs w:val="24"/>
        </w:rPr>
        <w:t>Figueroa Alfaro, Roxana Leticia</w:t>
      </w:r>
    </w:p>
    <w:p w:rsidR="00A24BF2" w:rsidRPr="00A24BF2" w:rsidRDefault="00A24BF2" w:rsidP="00A24BF2">
      <w:pPr>
        <w:jc w:val="both"/>
        <w:rPr>
          <w:rFonts w:ascii="Arial" w:hAnsi="Arial" w:cs="Arial"/>
          <w:sz w:val="24"/>
          <w:szCs w:val="24"/>
        </w:rPr>
      </w:pPr>
      <w:r w:rsidRPr="00A24BF2">
        <w:rPr>
          <w:rFonts w:ascii="Arial" w:hAnsi="Arial" w:cs="Arial"/>
          <w:sz w:val="24"/>
          <w:szCs w:val="24"/>
        </w:rPr>
        <w:t xml:space="preserve">Flores </w:t>
      </w:r>
      <w:r w:rsidR="0070174B">
        <w:rPr>
          <w:rFonts w:ascii="Arial" w:hAnsi="Arial" w:cs="Arial"/>
          <w:sz w:val="24"/>
          <w:szCs w:val="24"/>
        </w:rPr>
        <w:t>d</w:t>
      </w:r>
      <w:r w:rsidRPr="00A24BF2">
        <w:rPr>
          <w:rFonts w:ascii="Arial" w:hAnsi="Arial" w:cs="Arial"/>
          <w:sz w:val="24"/>
          <w:szCs w:val="24"/>
        </w:rPr>
        <w:t xml:space="preserve">e </w:t>
      </w:r>
      <w:r w:rsidR="0070174B" w:rsidRPr="00A24BF2">
        <w:rPr>
          <w:rFonts w:ascii="Arial" w:hAnsi="Arial" w:cs="Arial"/>
          <w:sz w:val="24"/>
          <w:szCs w:val="24"/>
        </w:rPr>
        <w:t>Ramírez</w:t>
      </w:r>
      <w:r w:rsidRPr="00A24BF2">
        <w:rPr>
          <w:rFonts w:ascii="Arial" w:hAnsi="Arial" w:cs="Arial"/>
          <w:sz w:val="24"/>
          <w:szCs w:val="24"/>
        </w:rPr>
        <w:t>, Mirna Tatiana</w:t>
      </w:r>
    </w:p>
    <w:p w:rsidR="00A24BF2" w:rsidRPr="00A24BF2" w:rsidRDefault="00A24BF2" w:rsidP="00A24BF2">
      <w:pPr>
        <w:jc w:val="both"/>
        <w:rPr>
          <w:rFonts w:ascii="Arial" w:hAnsi="Arial" w:cs="Arial"/>
          <w:sz w:val="24"/>
          <w:szCs w:val="24"/>
        </w:rPr>
      </w:pPr>
      <w:r w:rsidRPr="00A24BF2">
        <w:rPr>
          <w:rFonts w:ascii="Arial" w:hAnsi="Arial" w:cs="Arial"/>
          <w:sz w:val="24"/>
          <w:szCs w:val="24"/>
        </w:rPr>
        <w:t xml:space="preserve">Tino Castro, María </w:t>
      </w:r>
      <w:r w:rsidR="0070174B">
        <w:rPr>
          <w:rFonts w:ascii="Arial" w:hAnsi="Arial" w:cs="Arial"/>
          <w:sz w:val="24"/>
          <w:szCs w:val="24"/>
        </w:rPr>
        <w:t>d</w:t>
      </w:r>
      <w:r w:rsidRPr="00A24BF2">
        <w:rPr>
          <w:rFonts w:ascii="Arial" w:hAnsi="Arial" w:cs="Arial"/>
          <w:sz w:val="24"/>
          <w:szCs w:val="24"/>
        </w:rPr>
        <w:t>el Rosario</w:t>
      </w:r>
    </w:p>
    <w:p w:rsidR="00A24BF2" w:rsidRPr="00A24BF2" w:rsidRDefault="00A24BF2" w:rsidP="00A24BF2">
      <w:pPr>
        <w:jc w:val="both"/>
        <w:rPr>
          <w:rFonts w:ascii="Arial" w:hAnsi="Arial" w:cs="Arial"/>
          <w:sz w:val="24"/>
          <w:szCs w:val="24"/>
        </w:rPr>
      </w:pPr>
      <w:r w:rsidRPr="00A24BF2">
        <w:rPr>
          <w:rFonts w:ascii="Arial" w:hAnsi="Arial" w:cs="Arial"/>
          <w:sz w:val="24"/>
          <w:szCs w:val="24"/>
        </w:rPr>
        <w:t>Con la presentación de la demanda se hace efectivo el derecho de acción o</w:t>
      </w:r>
      <w:r w:rsidRPr="00A24BF2">
        <w:rPr>
          <w:rFonts w:ascii="Arial" w:hAnsi="Arial" w:cs="Arial"/>
          <w:sz w:val="24"/>
          <w:szCs w:val="24"/>
        </w:rPr>
        <w:t xml:space="preserve"> </w:t>
      </w:r>
      <w:r w:rsidRPr="00A24BF2">
        <w:rPr>
          <w:rFonts w:ascii="Arial" w:hAnsi="Arial" w:cs="Arial"/>
          <w:sz w:val="24"/>
          <w:szCs w:val="24"/>
        </w:rPr>
        <w:t>también llamado acceso a la justicia, por regla general, se pide mediante un</w:t>
      </w:r>
      <w:r w:rsidRPr="00A24BF2">
        <w:rPr>
          <w:rFonts w:ascii="Arial" w:hAnsi="Arial" w:cs="Arial"/>
          <w:sz w:val="24"/>
          <w:szCs w:val="24"/>
        </w:rPr>
        <w:t xml:space="preserve"> </w:t>
      </w:r>
      <w:r w:rsidRPr="00A24BF2">
        <w:rPr>
          <w:rFonts w:ascii="Arial" w:hAnsi="Arial" w:cs="Arial"/>
          <w:sz w:val="24"/>
          <w:szCs w:val="24"/>
        </w:rPr>
        <w:t>escrito o también llamado: presentación de la demanda: el artículo 276 del Código</w:t>
      </w:r>
      <w:r w:rsidRPr="00A24BF2">
        <w:rPr>
          <w:rFonts w:ascii="Arial" w:hAnsi="Arial" w:cs="Arial"/>
          <w:sz w:val="24"/>
          <w:szCs w:val="24"/>
        </w:rPr>
        <w:t xml:space="preserve"> </w:t>
      </w:r>
      <w:r w:rsidRPr="00A24BF2">
        <w:rPr>
          <w:rFonts w:ascii="Arial" w:hAnsi="Arial" w:cs="Arial"/>
          <w:sz w:val="24"/>
          <w:szCs w:val="24"/>
        </w:rPr>
        <w:t>Procesal Civil Mercantil, regula las formalidades que tales escritos deben cumplir</w:t>
      </w:r>
      <w:r w:rsidRPr="00A24BF2">
        <w:rPr>
          <w:rFonts w:ascii="Arial" w:hAnsi="Arial" w:cs="Arial"/>
          <w:sz w:val="24"/>
          <w:szCs w:val="24"/>
        </w:rPr>
        <w:t xml:space="preserve"> </w:t>
      </w:r>
      <w:r w:rsidRPr="00A24BF2">
        <w:rPr>
          <w:rFonts w:ascii="Arial" w:hAnsi="Arial" w:cs="Arial"/>
          <w:sz w:val="24"/>
          <w:szCs w:val="24"/>
        </w:rPr>
        <w:t>para que se inicie el proceso, esto es, la Litis pendencia;</w:t>
      </w:r>
      <w:r w:rsidRPr="00A24BF2">
        <w:rPr>
          <w:rFonts w:ascii="Arial" w:hAnsi="Arial" w:cs="Arial"/>
          <w:sz w:val="24"/>
          <w:szCs w:val="24"/>
        </w:rPr>
        <w:t xml:space="preserve"> </w:t>
      </w:r>
      <w:r w:rsidRPr="00A24BF2">
        <w:rPr>
          <w:rFonts w:ascii="Arial" w:hAnsi="Arial" w:cs="Arial"/>
          <w:sz w:val="24"/>
          <w:szCs w:val="24"/>
        </w:rPr>
        <w:t>la cual analiza los elementos que conforman los escritos que se</w:t>
      </w:r>
      <w:r w:rsidRPr="00A24BF2">
        <w:rPr>
          <w:rFonts w:ascii="Arial" w:hAnsi="Arial" w:cs="Arial"/>
          <w:sz w:val="24"/>
          <w:szCs w:val="24"/>
        </w:rPr>
        <w:t xml:space="preserve"> </w:t>
      </w:r>
      <w:r w:rsidRPr="00A24BF2">
        <w:rPr>
          <w:rFonts w:ascii="Arial" w:hAnsi="Arial" w:cs="Arial"/>
          <w:sz w:val="24"/>
          <w:szCs w:val="24"/>
        </w:rPr>
        <w:t>presentan ante los tribunales, así como los efectos que resultan a partir de las</w:t>
      </w:r>
      <w:r w:rsidRPr="00A24BF2">
        <w:rPr>
          <w:rFonts w:ascii="Arial" w:hAnsi="Arial" w:cs="Arial"/>
          <w:sz w:val="24"/>
          <w:szCs w:val="24"/>
        </w:rPr>
        <w:t xml:space="preserve"> </w:t>
      </w:r>
      <w:r w:rsidRPr="00A24BF2">
        <w:rPr>
          <w:rFonts w:ascii="Arial" w:hAnsi="Arial" w:cs="Arial"/>
          <w:sz w:val="24"/>
          <w:szCs w:val="24"/>
        </w:rPr>
        <w:t>respuestas dadas por los juzgados, y es que no se debe dejar de lado, que el hecho</w:t>
      </w:r>
      <w:r w:rsidRPr="00A24BF2">
        <w:rPr>
          <w:rFonts w:ascii="Arial" w:hAnsi="Arial" w:cs="Arial"/>
          <w:sz w:val="24"/>
          <w:szCs w:val="24"/>
        </w:rPr>
        <w:t xml:space="preserve"> </w:t>
      </w:r>
      <w:r w:rsidRPr="00A24BF2">
        <w:rPr>
          <w:rFonts w:ascii="Arial" w:hAnsi="Arial" w:cs="Arial"/>
          <w:sz w:val="24"/>
          <w:szCs w:val="24"/>
        </w:rPr>
        <w:t>que los encargados de aplicar justicia no pueden ni deben omitir dar una respuesta a</w:t>
      </w:r>
      <w:r w:rsidRPr="00A24BF2">
        <w:rPr>
          <w:rFonts w:ascii="Arial" w:hAnsi="Arial" w:cs="Arial"/>
          <w:sz w:val="24"/>
          <w:szCs w:val="24"/>
        </w:rPr>
        <w:t xml:space="preserve"> </w:t>
      </w:r>
      <w:r w:rsidRPr="00A24BF2">
        <w:rPr>
          <w:rFonts w:ascii="Arial" w:hAnsi="Arial" w:cs="Arial"/>
          <w:sz w:val="24"/>
          <w:szCs w:val="24"/>
        </w:rPr>
        <w:t>los que se avocan a ellos</w:t>
      </w:r>
      <w:bookmarkStart w:id="0" w:name="_GoBack"/>
      <w:bookmarkEnd w:id="0"/>
      <w:r w:rsidRPr="00A24BF2">
        <w:rPr>
          <w:rFonts w:ascii="Arial" w:hAnsi="Arial" w:cs="Arial"/>
          <w:sz w:val="24"/>
          <w:szCs w:val="24"/>
        </w:rPr>
        <w:t>.</w:t>
      </w:r>
    </w:p>
    <w:p w:rsidR="00A24BF2" w:rsidRPr="00A24BF2" w:rsidRDefault="00A24BF2" w:rsidP="00A24BF2">
      <w:pPr>
        <w:jc w:val="both"/>
        <w:rPr>
          <w:rFonts w:ascii="Arial" w:hAnsi="Arial" w:cs="Arial"/>
          <w:sz w:val="24"/>
          <w:szCs w:val="24"/>
        </w:rPr>
      </w:pPr>
    </w:p>
    <w:p w:rsidR="00A24BF2" w:rsidRPr="00A24BF2" w:rsidRDefault="00A24BF2" w:rsidP="00A24BF2">
      <w:pPr>
        <w:jc w:val="both"/>
        <w:rPr>
          <w:rFonts w:ascii="Arial" w:hAnsi="Arial" w:cs="Arial"/>
          <w:sz w:val="24"/>
          <w:szCs w:val="24"/>
        </w:rPr>
      </w:pPr>
      <w:r w:rsidRPr="00A24BF2">
        <w:rPr>
          <w:rFonts w:ascii="Arial" w:hAnsi="Arial" w:cs="Arial"/>
          <w:sz w:val="24"/>
          <w:szCs w:val="24"/>
        </w:rPr>
        <w:t>Licenciatura en Ciencias Jurídicas, 2016.</w:t>
      </w:r>
    </w:p>
    <w:p w:rsidR="00A24BF2" w:rsidRDefault="00A24BF2" w:rsidP="00A24BF2"/>
    <w:sectPr w:rsidR="00A24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F2"/>
    <w:rsid w:val="003066CC"/>
    <w:rsid w:val="00482826"/>
    <w:rsid w:val="0070174B"/>
    <w:rsid w:val="008F3485"/>
    <w:rsid w:val="00A2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596AF"/>
  <w15:chartTrackingRefBased/>
  <w15:docId w15:val="{C05048EC-981C-4CC6-89C8-C5BA4633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2023-03-19T21:10:00Z</dcterms:created>
  <dcterms:modified xsi:type="dcterms:W3CDTF">2023-03-19T21:44:00Z</dcterms:modified>
</cp:coreProperties>
</file>