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A35121" w:rsidRDefault="00A35121" w:rsidP="00A35121">
      <w:pPr>
        <w:jc w:val="both"/>
        <w:rPr>
          <w:rFonts w:ascii="Arial" w:hAnsi="Arial" w:cs="Arial"/>
          <w:sz w:val="24"/>
          <w:szCs w:val="24"/>
        </w:rPr>
      </w:pPr>
      <w:r w:rsidRPr="00A35121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e</w:t>
      </w:r>
      <w:r w:rsidRPr="00A35121">
        <w:rPr>
          <w:rFonts w:ascii="Arial" w:hAnsi="Arial" w:cs="Arial"/>
          <w:sz w:val="24"/>
          <w:szCs w:val="24"/>
        </w:rPr>
        <w:t xml:space="preserve">ficacia </w:t>
      </w:r>
      <w:r>
        <w:rPr>
          <w:rFonts w:ascii="Arial" w:hAnsi="Arial" w:cs="Arial"/>
          <w:sz w:val="24"/>
          <w:szCs w:val="24"/>
        </w:rPr>
        <w:t>d</w:t>
      </w:r>
      <w:r w:rsidRPr="00A3512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A3512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</w:t>
      </w:r>
      <w:r w:rsidRPr="00A35121">
        <w:rPr>
          <w:rFonts w:ascii="Arial" w:hAnsi="Arial" w:cs="Arial"/>
          <w:sz w:val="24"/>
          <w:szCs w:val="24"/>
        </w:rPr>
        <w:t xml:space="preserve">olvencia </w:t>
      </w:r>
      <w:r>
        <w:rPr>
          <w:rFonts w:ascii="Arial" w:hAnsi="Arial" w:cs="Arial"/>
          <w:sz w:val="24"/>
          <w:szCs w:val="24"/>
        </w:rPr>
        <w:t>a</w:t>
      </w:r>
      <w:r w:rsidRPr="00A35121">
        <w:rPr>
          <w:rFonts w:ascii="Arial" w:hAnsi="Arial" w:cs="Arial"/>
          <w:sz w:val="24"/>
          <w:szCs w:val="24"/>
        </w:rPr>
        <w:t xml:space="preserve">limentaria </w:t>
      </w:r>
      <w:r>
        <w:rPr>
          <w:rFonts w:ascii="Arial" w:hAnsi="Arial" w:cs="Arial"/>
          <w:sz w:val="24"/>
          <w:szCs w:val="24"/>
        </w:rPr>
        <w:t>c</w:t>
      </w:r>
      <w:r w:rsidRPr="00A35121">
        <w:rPr>
          <w:rFonts w:ascii="Arial" w:hAnsi="Arial" w:cs="Arial"/>
          <w:sz w:val="24"/>
          <w:szCs w:val="24"/>
        </w:rPr>
        <w:t xml:space="preserve">omo </w:t>
      </w:r>
      <w:r>
        <w:rPr>
          <w:rFonts w:ascii="Arial" w:hAnsi="Arial" w:cs="Arial"/>
          <w:sz w:val="24"/>
          <w:szCs w:val="24"/>
        </w:rPr>
        <w:t>u</w:t>
      </w:r>
      <w:r w:rsidRPr="00A35121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m</w:t>
      </w:r>
      <w:r w:rsidRPr="00A35121">
        <w:rPr>
          <w:rFonts w:ascii="Arial" w:hAnsi="Arial" w:cs="Arial"/>
          <w:sz w:val="24"/>
          <w:szCs w:val="24"/>
        </w:rPr>
        <w:t xml:space="preserve">ecanismo </w:t>
      </w:r>
      <w:r>
        <w:rPr>
          <w:rFonts w:ascii="Arial" w:hAnsi="Arial" w:cs="Arial"/>
          <w:sz w:val="24"/>
          <w:szCs w:val="24"/>
        </w:rPr>
        <w:t>q</w:t>
      </w:r>
      <w:r w:rsidRPr="00A35121">
        <w:rPr>
          <w:rFonts w:ascii="Arial" w:hAnsi="Arial" w:cs="Arial"/>
          <w:sz w:val="24"/>
          <w:szCs w:val="24"/>
        </w:rPr>
        <w:t xml:space="preserve">ue </w:t>
      </w:r>
      <w:r>
        <w:rPr>
          <w:rFonts w:ascii="Arial" w:hAnsi="Arial" w:cs="Arial"/>
          <w:sz w:val="24"/>
          <w:szCs w:val="24"/>
        </w:rPr>
        <w:t>g</w:t>
      </w:r>
      <w:r w:rsidRPr="00A35121">
        <w:rPr>
          <w:rFonts w:ascii="Arial" w:hAnsi="Arial" w:cs="Arial"/>
          <w:sz w:val="24"/>
          <w:szCs w:val="24"/>
        </w:rPr>
        <w:t xml:space="preserve">arantice </w:t>
      </w:r>
      <w:r>
        <w:rPr>
          <w:rFonts w:ascii="Arial" w:hAnsi="Arial" w:cs="Arial"/>
          <w:sz w:val="24"/>
          <w:szCs w:val="24"/>
        </w:rPr>
        <w:t>e</w:t>
      </w:r>
      <w:r w:rsidRPr="00A35121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c</w:t>
      </w:r>
      <w:r w:rsidRPr="00A35121">
        <w:rPr>
          <w:rFonts w:ascii="Arial" w:hAnsi="Arial" w:cs="Arial"/>
          <w:sz w:val="24"/>
          <w:szCs w:val="24"/>
        </w:rPr>
        <w:t xml:space="preserve">umplimiento </w:t>
      </w:r>
      <w:r>
        <w:rPr>
          <w:rFonts w:ascii="Arial" w:hAnsi="Arial" w:cs="Arial"/>
          <w:sz w:val="24"/>
          <w:szCs w:val="24"/>
        </w:rPr>
        <w:t>d</w:t>
      </w:r>
      <w:r w:rsidRPr="00A3512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</w:t>
      </w:r>
      <w:r w:rsidRPr="00A35121">
        <w:rPr>
          <w:rFonts w:ascii="Arial" w:hAnsi="Arial" w:cs="Arial"/>
          <w:sz w:val="24"/>
          <w:szCs w:val="24"/>
        </w:rPr>
        <w:t xml:space="preserve">ago </w:t>
      </w:r>
      <w:r>
        <w:rPr>
          <w:rFonts w:ascii="Arial" w:hAnsi="Arial" w:cs="Arial"/>
          <w:sz w:val="24"/>
          <w:szCs w:val="24"/>
        </w:rPr>
        <w:t>d</w:t>
      </w:r>
      <w:r w:rsidRPr="00A3512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c</w:t>
      </w:r>
      <w:r w:rsidRPr="00A35121">
        <w:rPr>
          <w:rFonts w:ascii="Arial" w:hAnsi="Arial" w:cs="Arial"/>
          <w:sz w:val="24"/>
          <w:szCs w:val="24"/>
        </w:rPr>
        <w:t xml:space="preserve">uotas </w:t>
      </w:r>
      <w:r w:rsidR="00874B9C">
        <w:rPr>
          <w:rFonts w:ascii="Arial" w:hAnsi="Arial" w:cs="Arial"/>
          <w:sz w:val="24"/>
          <w:szCs w:val="24"/>
        </w:rPr>
        <w:t>a</w:t>
      </w:r>
      <w:r w:rsidRPr="00A35121">
        <w:rPr>
          <w:rFonts w:ascii="Arial" w:hAnsi="Arial" w:cs="Arial"/>
          <w:sz w:val="24"/>
          <w:szCs w:val="24"/>
        </w:rPr>
        <w:t xml:space="preserve">limenticias </w:t>
      </w:r>
      <w:r w:rsidR="00874B9C">
        <w:rPr>
          <w:rFonts w:ascii="Arial" w:hAnsi="Arial" w:cs="Arial"/>
          <w:sz w:val="24"/>
          <w:szCs w:val="24"/>
        </w:rPr>
        <w:t>e</w:t>
      </w:r>
      <w:r w:rsidRPr="00A35121">
        <w:rPr>
          <w:rFonts w:ascii="Arial" w:hAnsi="Arial" w:cs="Arial"/>
          <w:sz w:val="24"/>
          <w:szCs w:val="24"/>
        </w:rPr>
        <w:t xml:space="preserve">n La Ciudad </w:t>
      </w:r>
      <w:r w:rsidR="00874B9C">
        <w:rPr>
          <w:rFonts w:ascii="Arial" w:hAnsi="Arial" w:cs="Arial"/>
          <w:sz w:val="24"/>
          <w:szCs w:val="24"/>
        </w:rPr>
        <w:t>d</w:t>
      </w:r>
      <w:r w:rsidRPr="00A35121">
        <w:rPr>
          <w:rFonts w:ascii="Arial" w:hAnsi="Arial" w:cs="Arial"/>
          <w:sz w:val="24"/>
          <w:szCs w:val="24"/>
        </w:rPr>
        <w:t>e Santa Ana</w:t>
      </w:r>
    </w:p>
    <w:p w:rsidR="00A35121" w:rsidRPr="00A35121" w:rsidRDefault="00A35121" w:rsidP="00A35121">
      <w:pPr>
        <w:jc w:val="both"/>
        <w:rPr>
          <w:rFonts w:ascii="Arial" w:hAnsi="Arial" w:cs="Arial"/>
          <w:sz w:val="24"/>
          <w:szCs w:val="24"/>
        </w:rPr>
      </w:pPr>
    </w:p>
    <w:p w:rsidR="00A35121" w:rsidRPr="00A35121" w:rsidRDefault="00A35121" w:rsidP="00A35121">
      <w:pPr>
        <w:jc w:val="both"/>
        <w:rPr>
          <w:rFonts w:ascii="Arial" w:hAnsi="Arial" w:cs="Arial"/>
          <w:sz w:val="24"/>
          <w:szCs w:val="24"/>
        </w:rPr>
      </w:pPr>
      <w:r w:rsidRPr="00A35121">
        <w:rPr>
          <w:rFonts w:ascii="Arial" w:hAnsi="Arial" w:cs="Arial"/>
          <w:sz w:val="24"/>
          <w:szCs w:val="24"/>
        </w:rPr>
        <w:t>Estrada López, Ingrid Maritza</w:t>
      </w:r>
    </w:p>
    <w:p w:rsidR="00A35121" w:rsidRPr="00A35121" w:rsidRDefault="00A35121" w:rsidP="00A35121">
      <w:pPr>
        <w:jc w:val="both"/>
        <w:rPr>
          <w:rFonts w:ascii="Arial" w:hAnsi="Arial" w:cs="Arial"/>
          <w:sz w:val="24"/>
          <w:szCs w:val="24"/>
        </w:rPr>
      </w:pPr>
      <w:r w:rsidRPr="00A35121">
        <w:rPr>
          <w:rFonts w:ascii="Arial" w:hAnsi="Arial" w:cs="Arial"/>
          <w:sz w:val="24"/>
          <w:szCs w:val="24"/>
        </w:rPr>
        <w:t>Gómez Hernández, Wendy Larissa</w:t>
      </w:r>
    </w:p>
    <w:p w:rsidR="00A35121" w:rsidRPr="00A35121" w:rsidRDefault="00A35121" w:rsidP="00A35121">
      <w:pPr>
        <w:jc w:val="both"/>
        <w:rPr>
          <w:rFonts w:ascii="Arial" w:hAnsi="Arial" w:cs="Arial"/>
          <w:sz w:val="24"/>
          <w:szCs w:val="24"/>
        </w:rPr>
      </w:pPr>
      <w:r w:rsidRPr="00A35121">
        <w:rPr>
          <w:rFonts w:ascii="Arial" w:hAnsi="Arial" w:cs="Arial"/>
          <w:sz w:val="24"/>
          <w:szCs w:val="24"/>
        </w:rPr>
        <w:t>Gómez Hernández, Marlon Emerson</w:t>
      </w:r>
    </w:p>
    <w:p w:rsidR="00A35121" w:rsidRDefault="00A35121" w:rsidP="00A35121">
      <w:pPr>
        <w:jc w:val="both"/>
        <w:rPr>
          <w:rFonts w:ascii="Arial" w:hAnsi="Arial" w:cs="Arial"/>
          <w:sz w:val="24"/>
          <w:szCs w:val="24"/>
        </w:rPr>
      </w:pPr>
    </w:p>
    <w:p w:rsidR="00A35121" w:rsidRPr="00A35121" w:rsidRDefault="00874B9C" w:rsidP="00A3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35121" w:rsidRPr="00A35121">
        <w:rPr>
          <w:rFonts w:ascii="Arial" w:hAnsi="Arial" w:cs="Arial"/>
          <w:sz w:val="24"/>
          <w:szCs w:val="24"/>
        </w:rPr>
        <w:t>os diferentes mecanismos coadyuvantes para el</w:t>
      </w:r>
      <w:r w:rsidR="00A35121" w:rsidRPr="00A35121">
        <w:rPr>
          <w:rFonts w:ascii="Arial" w:hAnsi="Arial" w:cs="Arial"/>
          <w:sz w:val="24"/>
          <w:szCs w:val="24"/>
        </w:rPr>
        <w:t xml:space="preserve"> </w:t>
      </w:r>
      <w:r w:rsidR="00A35121" w:rsidRPr="00A35121">
        <w:rPr>
          <w:rFonts w:ascii="Arial" w:hAnsi="Arial" w:cs="Arial"/>
          <w:sz w:val="24"/>
          <w:szCs w:val="24"/>
        </w:rPr>
        <w:t>cumplimiento del pago de cuotas alimenticias, en cuanto a la efectividad de los</w:t>
      </w:r>
      <w:r w:rsidR="00A35121" w:rsidRPr="00A35121">
        <w:rPr>
          <w:rFonts w:ascii="Arial" w:hAnsi="Arial" w:cs="Arial"/>
          <w:sz w:val="24"/>
          <w:szCs w:val="24"/>
        </w:rPr>
        <w:t xml:space="preserve"> </w:t>
      </w:r>
      <w:r w:rsidR="00A35121" w:rsidRPr="00A35121">
        <w:rPr>
          <w:rFonts w:ascii="Arial" w:hAnsi="Arial" w:cs="Arial"/>
          <w:sz w:val="24"/>
          <w:szCs w:val="24"/>
        </w:rPr>
        <w:t>mismos, dando tratamiento especial a la figura de la Solvencia de Prestación de</w:t>
      </w:r>
      <w:r w:rsidR="00A35121" w:rsidRPr="00A35121">
        <w:rPr>
          <w:rFonts w:ascii="Arial" w:hAnsi="Arial" w:cs="Arial"/>
          <w:sz w:val="24"/>
          <w:szCs w:val="24"/>
        </w:rPr>
        <w:t xml:space="preserve"> </w:t>
      </w:r>
      <w:r w:rsidR="00A35121" w:rsidRPr="00A35121">
        <w:rPr>
          <w:rFonts w:ascii="Arial" w:hAnsi="Arial" w:cs="Arial"/>
          <w:sz w:val="24"/>
          <w:szCs w:val="24"/>
        </w:rPr>
        <w:t>Pensión Alimenticia</w:t>
      </w:r>
      <w:r>
        <w:rPr>
          <w:rFonts w:ascii="Arial" w:hAnsi="Arial" w:cs="Arial"/>
          <w:sz w:val="24"/>
          <w:szCs w:val="24"/>
        </w:rPr>
        <w:t>,</w:t>
      </w:r>
      <w:r w:rsidR="00A35121" w:rsidRPr="00A35121">
        <w:rPr>
          <w:rFonts w:ascii="Arial" w:hAnsi="Arial" w:cs="Arial"/>
          <w:sz w:val="24"/>
          <w:szCs w:val="24"/>
        </w:rPr>
        <w:t xml:space="preserve">  el Código de Familia, y la</w:t>
      </w:r>
      <w:r w:rsidR="00A35121" w:rsidRPr="00A35121">
        <w:rPr>
          <w:rFonts w:ascii="Arial" w:hAnsi="Arial" w:cs="Arial"/>
          <w:sz w:val="24"/>
          <w:szCs w:val="24"/>
        </w:rPr>
        <w:t xml:space="preserve"> </w:t>
      </w:r>
      <w:r w:rsidR="00A35121" w:rsidRPr="00A35121">
        <w:rPr>
          <w:rFonts w:ascii="Arial" w:hAnsi="Arial" w:cs="Arial"/>
          <w:sz w:val="24"/>
          <w:szCs w:val="24"/>
        </w:rPr>
        <w:t>Ley Procesal de Familia son los principales encargados en desarrollar la temática,</w:t>
      </w:r>
      <w:r w:rsidR="00A35121" w:rsidRPr="00A35121">
        <w:rPr>
          <w:rFonts w:ascii="Arial" w:hAnsi="Arial" w:cs="Arial"/>
          <w:sz w:val="24"/>
          <w:szCs w:val="24"/>
        </w:rPr>
        <w:t xml:space="preserve"> </w:t>
      </w:r>
      <w:r w:rsidR="00A35121" w:rsidRPr="00A35121">
        <w:rPr>
          <w:rFonts w:ascii="Arial" w:hAnsi="Arial" w:cs="Arial"/>
          <w:sz w:val="24"/>
          <w:szCs w:val="24"/>
        </w:rPr>
        <w:t>dentro de los cuales el derecho de alimentos a partir del artículo 247 y</w:t>
      </w:r>
      <w:r w:rsidR="00A35121" w:rsidRPr="00A35121">
        <w:rPr>
          <w:rFonts w:ascii="Arial" w:hAnsi="Arial" w:cs="Arial"/>
          <w:sz w:val="24"/>
          <w:szCs w:val="24"/>
        </w:rPr>
        <w:t xml:space="preserve"> </w:t>
      </w:r>
      <w:r w:rsidR="00A35121" w:rsidRPr="00A35121">
        <w:rPr>
          <w:rFonts w:ascii="Arial" w:hAnsi="Arial" w:cs="Arial"/>
          <w:sz w:val="24"/>
          <w:szCs w:val="24"/>
        </w:rPr>
        <w:t>siguientes del Código de Familia, se enfocó de forma</w:t>
      </w:r>
      <w:r w:rsidR="00A35121" w:rsidRPr="00A35121">
        <w:rPr>
          <w:rFonts w:ascii="Arial" w:hAnsi="Arial" w:cs="Arial"/>
          <w:sz w:val="24"/>
          <w:szCs w:val="24"/>
        </w:rPr>
        <w:t xml:space="preserve"> </w:t>
      </w:r>
      <w:r w:rsidR="00A35121" w:rsidRPr="00A35121">
        <w:rPr>
          <w:rFonts w:ascii="Arial" w:hAnsi="Arial" w:cs="Arial"/>
          <w:sz w:val="24"/>
          <w:szCs w:val="24"/>
        </w:rPr>
        <w:t>general con auxilio de los diferentes cuerpos de ley relacionados en materia de</w:t>
      </w:r>
      <w:r w:rsidR="00A35121" w:rsidRPr="00A35121">
        <w:rPr>
          <w:rFonts w:ascii="Arial" w:hAnsi="Arial" w:cs="Arial"/>
          <w:sz w:val="24"/>
          <w:szCs w:val="24"/>
        </w:rPr>
        <w:t xml:space="preserve"> </w:t>
      </w:r>
      <w:r w:rsidR="00A35121" w:rsidRPr="00A35121">
        <w:rPr>
          <w:rFonts w:ascii="Arial" w:hAnsi="Arial" w:cs="Arial"/>
          <w:sz w:val="24"/>
          <w:szCs w:val="24"/>
        </w:rPr>
        <w:t>alimentos y de forma específica en lo que garantizan</w:t>
      </w:r>
      <w:r w:rsidR="00A35121" w:rsidRPr="00A35121">
        <w:rPr>
          <w:rFonts w:ascii="Arial" w:hAnsi="Arial" w:cs="Arial"/>
          <w:sz w:val="24"/>
          <w:szCs w:val="24"/>
        </w:rPr>
        <w:t xml:space="preserve"> </w:t>
      </w:r>
      <w:r w:rsidR="00A35121" w:rsidRPr="00A35121">
        <w:rPr>
          <w:rFonts w:ascii="Arial" w:hAnsi="Arial" w:cs="Arial"/>
          <w:sz w:val="24"/>
          <w:szCs w:val="24"/>
        </w:rPr>
        <w:t>el cumplimiento del pago de las cuota alimenticia</w:t>
      </w:r>
      <w:r w:rsidR="00A35121" w:rsidRPr="00A35121">
        <w:rPr>
          <w:rFonts w:ascii="Arial" w:hAnsi="Arial" w:cs="Arial"/>
          <w:sz w:val="24"/>
          <w:szCs w:val="24"/>
        </w:rPr>
        <w:t>.</w:t>
      </w:r>
    </w:p>
    <w:p w:rsidR="00A35121" w:rsidRPr="00A35121" w:rsidRDefault="00A35121" w:rsidP="00A3512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121" w:rsidRPr="00A35121" w:rsidRDefault="00A35121" w:rsidP="00A35121">
      <w:pPr>
        <w:jc w:val="both"/>
        <w:rPr>
          <w:rFonts w:ascii="Arial" w:hAnsi="Arial" w:cs="Arial"/>
          <w:sz w:val="24"/>
          <w:szCs w:val="24"/>
        </w:rPr>
      </w:pPr>
      <w:r w:rsidRPr="00A35121">
        <w:rPr>
          <w:rFonts w:ascii="Arial" w:hAnsi="Arial" w:cs="Arial"/>
          <w:sz w:val="24"/>
          <w:szCs w:val="24"/>
        </w:rPr>
        <w:t>Licenciatura en Ciencias Jurídicas, 2016.</w:t>
      </w:r>
    </w:p>
    <w:p w:rsidR="00A35121" w:rsidRDefault="00A35121" w:rsidP="00A35121"/>
    <w:sectPr w:rsidR="00A35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21"/>
    <w:rsid w:val="003066CC"/>
    <w:rsid w:val="00874B9C"/>
    <w:rsid w:val="008F3485"/>
    <w:rsid w:val="00A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C8A7D"/>
  <w15:chartTrackingRefBased/>
  <w15:docId w15:val="{C97EEA73-A2DC-4132-9368-DFA613AA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2023-03-19T22:44:00Z</dcterms:created>
  <dcterms:modified xsi:type="dcterms:W3CDTF">2023-03-19T23:01:00Z</dcterms:modified>
</cp:coreProperties>
</file>