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EB1E96" w:rsidRDefault="00EB1E96" w:rsidP="00EB1E96">
      <w:pPr>
        <w:jc w:val="both"/>
        <w:rPr>
          <w:rFonts w:ascii="Arial" w:hAnsi="Arial" w:cs="Arial"/>
          <w:sz w:val="24"/>
          <w:szCs w:val="24"/>
        </w:rPr>
      </w:pPr>
      <w:r w:rsidRPr="00EB1E96">
        <w:rPr>
          <w:rFonts w:ascii="Arial" w:hAnsi="Arial" w:cs="Arial"/>
          <w:sz w:val="24"/>
          <w:szCs w:val="24"/>
        </w:rPr>
        <w:t xml:space="preserve">Propuesta </w:t>
      </w:r>
      <w:r>
        <w:rPr>
          <w:rFonts w:ascii="Arial" w:hAnsi="Arial" w:cs="Arial"/>
          <w:sz w:val="24"/>
          <w:szCs w:val="24"/>
        </w:rPr>
        <w:t>d</w:t>
      </w:r>
      <w:r w:rsidRPr="00EB1E9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EB1E9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g</w:t>
      </w:r>
      <w:r w:rsidRPr="00EB1E96">
        <w:rPr>
          <w:rFonts w:ascii="Arial" w:hAnsi="Arial" w:cs="Arial"/>
          <w:sz w:val="24"/>
          <w:szCs w:val="24"/>
        </w:rPr>
        <w:t xml:space="preserve">uía </w:t>
      </w:r>
      <w:r>
        <w:rPr>
          <w:rFonts w:ascii="Arial" w:hAnsi="Arial" w:cs="Arial"/>
          <w:sz w:val="24"/>
          <w:szCs w:val="24"/>
        </w:rPr>
        <w:t>t</w:t>
      </w:r>
      <w:r w:rsidRPr="00EB1E96">
        <w:rPr>
          <w:rFonts w:ascii="Arial" w:hAnsi="Arial" w:cs="Arial"/>
          <w:sz w:val="24"/>
          <w:szCs w:val="24"/>
        </w:rPr>
        <w:t xml:space="preserve">écnica </w:t>
      </w:r>
      <w:r>
        <w:rPr>
          <w:rFonts w:ascii="Arial" w:hAnsi="Arial" w:cs="Arial"/>
          <w:sz w:val="24"/>
          <w:szCs w:val="24"/>
        </w:rPr>
        <w:t>p</w:t>
      </w:r>
      <w:r w:rsidRPr="00EB1E96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e</w:t>
      </w:r>
      <w:r w:rsidRPr="00EB1E96">
        <w:rPr>
          <w:rFonts w:ascii="Arial" w:hAnsi="Arial" w:cs="Arial"/>
          <w:sz w:val="24"/>
          <w:szCs w:val="24"/>
        </w:rPr>
        <w:t xml:space="preserve">laborar </w:t>
      </w:r>
      <w:r>
        <w:rPr>
          <w:rFonts w:ascii="Arial" w:hAnsi="Arial" w:cs="Arial"/>
          <w:sz w:val="24"/>
          <w:szCs w:val="24"/>
        </w:rPr>
        <w:t>u</w:t>
      </w:r>
      <w:r w:rsidRPr="00EB1E9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a</w:t>
      </w:r>
      <w:r w:rsidRPr="00EB1E96">
        <w:rPr>
          <w:rFonts w:ascii="Arial" w:hAnsi="Arial" w:cs="Arial"/>
          <w:sz w:val="24"/>
          <w:szCs w:val="24"/>
        </w:rPr>
        <w:t xml:space="preserve">uditoría </w:t>
      </w:r>
      <w:r>
        <w:rPr>
          <w:rFonts w:ascii="Arial" w:hAnsi="Arial" w:cs="Arial"/>
          <w:sz w:val="24"/>
          <w:szCs w:val="24"/>
        </w:rPr>
        <w:t>f</w:t>
      </w:r>
      <w:r w:rsidRPr="00EB1E96">
        <w:rPr>
          <w:rFonts w:ascii="Arial" w:hAnsi="Arial" w:cs="Arial"/>
          <w:sz w:val="24"/>
          <w:szCs w:val="24"/>
        </w:rPr>
        <w:t xml:space="preserve">orense </w:t>
      </w:r>
      <w:r>
        <w:rPr>
          <w:rFonts w:ascii="Arial" w:hAnsi="Arial" w:cs="Arial"/>
          <w:sz w:val="24"/>
          <w:szCs w:val="24"/>
        </w:rPr>
        <w:t>p</w:t>
      </w:r>
      <w:r w:rsidRPr="00EB1E96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l</w:t>
      </w:r>
      <w:r w:rsidRPr="00EB1E96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</w:t>
      </w:r>
      <w:r w:rsidRPr="00EB1E96">
        <w:rPr>
          <w:rFonts w:ascii="Arial" w:hAnsi="Arial" w:cs="Arial"/>
          <w:sz w:val="24"/>
          <w:szCs w:val="24"/>
        </w:rPr>
        <w:t xml:space="preserve">rofesionales </w:t>
      </w:r>
      <w:r>
        <w:rPr>
          <w:rFonts w:ascii="Arial" w:hAnsi="Arial" w:cs="Arial"/>
          <w:sz w:val="24"/>
          <w:szCs w:val="24"/>
        </w:rPr>
        <w:t>d</w:t>
      </w:r>
      <w:r w:rsidRPr="00EB1E9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EB1E96">
        <w:rPr>
          <w:rFonts w:ascii="Arial" w:hAnsi="Arial" w:cs="Arial"/>
          <w:sz w:val="24"/>
          <w:szCs w:val="24"/>
        </w:rPr>
        <w:t xml:space="preserve">ontaduría </w:t>
      </w:r>
      <w:r>
        <w:rPr>
          <w:rFonts w:ascii="Arial" w:hAnsi="Arial" w:cs="Arial"/>
          <w:sz w:val="24"/>
          <w:szCs w:val="24"/>
        </w:rPr>
        <w:t>p</w:t>
      </w:r>
      <w:r w:rsidRPr="00EB1E96">
        <w:rPr>
          <w:rFonts w:ascii="Arial" w:hAnsi="Arial" w:cs="Arial"/>
          <w:sz w:val="24"/>
          <w:szCs w:val="24"/>
        </w:rPr>
        <w:t xml:space="preserve">ública </w:t>
      </w:r>
      <w:r>
        <w:rPr>
          <w:rFonts w:ascii="Arial" w:hAnsi="Arial" w:cs="Arial"/>
          <w:sz w:val="24"/>
          <w:szCs w:val="24"/>
        </w:rPr>
        <w:t>d</w:t>
      </w:r>
      <w:r w:rsidRPr="00EB1E96">
        <w:rPr>
          <w:rFonts w:ascii="Arial" w:hAnsi="Arial" w:cs="Arial"/>
          <w:sz w:val="24"/>
          <w:szCs w:val="24"/>
        </w:rPr>
        <w:t xml:space="preserve">el Municipio </w:t>
      </w:r>
      <w:r>
        <w:rPr>
          <w:rFonts w:ascii="Arial" w:hAnsi="Arial" w:cs="Arial"/>
          <w:sz w:val="24"/>
          <w:szCs w:val="24"/>
        </w:rPr>
        <w:t>d</w:t>
      </w:r>
      <w:r w:rsidRPr="00EB1E96">
        <w:rPr>
          <w:rFonts w:ascii="Arial" w:hAnsi="Arial" w:cs="Arial"/>
          <w:sz w:val="24"/>
          <w:szCs w:val="24"/>
        </w:rPr>
        <w:t xml:space="preserve">e Santa Ana, Departamento </w:t>
      </w:r>
      <w:r>
        <w:rPr>
          <w:rFonts w:ascii="Arial" w:hAnsi="Arial" w:cs="Arial"/>
          <w:sz w:val="24"/>
          <w:szCs w:val="24"/>
        </w:rPr>
        <w:t>d</w:t>
      </w:r>
      <w:r w:rsidRPr="00EB1E96">
        <w:rPr>
          <w:rFonts w:ascii="Arial" w:hAnsi="Arial" w:cs="Arial"/>
          <w:sz w:val="24"/>
          <w:szCs w:val="24"/>
        </w:rPr>
        <w:t>e Santa Ana</w:t>
      </w:r>
    </w:p>
    <w:p w:rsidR="00EB1E96" w:rsidRPr="00EB1E96" w:rsidRDefault="00EB1E96" w:rsidP="00EB1E96">
      <w:pPr>
        <w:rPr>
          <w:rFonts w:ascii="Arial" w:hAnsi="Arial" w:cs="Arial"/>
          <w:sz w:val="24"/>
          <w:szCs w:val="24"/>
        </w:rPr>
      </w:pPr>
    </w:p>
    <w:p w:rsidR="00EB1E96" w:rsidRPr="00EB1E96" w:rsidRDefault="00EB1E96" w:rsidP="00EB1E96">
      <w:pPr>
        <w:rPr>
          <w:rFonts w:ascii="Arial" w:hAnsi="Arial" w:cs="Arial"/>
          <w:sz w:val="24"/>
          <w:szCs w:val="24"/>
        </w:rPr>
      </w:pPr>
      <w:r w:rsidRPr="00EB1E96">
        <w:rPr>
          <w:rFonts w:ascii="Arial" w:hAnsi="Arial" w:cs="Arial"/>
          <w:sz w:val="24"/>
          <w:szCs w:val="24"/>
        </w:rPr>
        <w:t>Herrarte Morales, Claudia Stephanie</w:t>
      </w:r>
    </w:p>
    <w:p w:rsidR="00EB1E96" w:rsidRPr="00EB1E96" w:rsidRDefault="00EB1E96" w:rsidP="00EB1E96">
      <w:pPr>
        <w:rPr>
          <w:rFonts w:ascii="Arial" w:hAnsi="Arial" w:cs="Arial"/>
          <w:sz w:val="24"/>
          <w:szCs w:val="24"/>
        </w:rPr>
      </w:pPr>
      <w:r w:rsidRPr="00EB1E96">
        <w:rPr>
          <w:rFonts w:ascii="Arial" w:hAnsi="Arial" w:cs="Arial"/>
          <w:sz w:val="24"/>
          <w:szCs w:val="24"/>
        </w:rPr>
        <w:t>Herrarte Morales, Erika Vanessa</w:t>
      </w:r>
    </w:p>
    <w:p w:rsidR="00EB1E96" w:rsidRPr="00EB1E96" w:rsidRDefault="00EB1E96" w:rsidP="00EB1E96">
      <w:pPr>
        <w:rPr>
          <w:rFonts w:ascii="Arial" w:hAnsi="Arial" w:cs="Arial"/>
          <w:sz w:val="24"/>
          <w:szCs w:val="24"/>
        </w:rPr>
      </w:pPr>
      <w:r w:rsidRPr="00EB1E96">
        <w:rPr>
          <w:rFonts w:ascii="Arial" w:hAnsi="Arial" w:cs="Arial"/>
          <w:sz w:val="24"/>
          <w:szCs w:val="24"/>
        </w:rPr>
        <w:t>Villalta Rivera, Tania Yamileth</w:t>
      </w:r>
    </w:p>
    <w:p w:rsidR="00EB1E96" w:rsidRPr="00EB1E96" w:rsidRDefault="00EB1E96" w:rsidP="00EB1E96">
      <w:pPr>
        <w:jc w:val="both"/>
        <w:rPr>
          <w:rFonts w:ascii="Arial" w:hAnsi="Arial" w:cs="Arial"/>
          <w:sz w:val="24"/>
          <w:szCs w:val="24"/>
        </w:rPr>
      </w:pPr>
    </w:p>
    <w:p w:rsidR="00EB1E96" w:rsidRPr="00EB1E96" w:rsidRDefault="00EB1E96" w:rsidP="00EB1E96">
      <w:pPr>
        <w:jc w:val="both"/>
        <w:rPr>
          <w:rFonts w:ascii="Arial" w:hAnsi="Arial" w:cs="Arial"/>
          <w:sz w:val="24"/>
          <w:szCs w:val="24"/>
        </w:rPr>
      </w:pPr>
      <w:r w:rsidRPr="00EB1E96">
        <w:rPr>
          <w:rFonts w:ascii="Arial" w:hAnsi="Arial" w:cs="Arial"/>
          <w:sz w:val="24"/>
          <w:szCs w:val="24"/>
        </w:rPr>
        <w:t>Desde hace mucho tiempo la falta de ética y moral ha existido, lo cual amenaza el desarrollo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económico por lo tanto se necesita una herramienta que apoye el fortalecimiento de las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instituciones ya sea públicas o privadas, procurando disuadir las prácticas deshonestas,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promoviendo la responsabilidad y la transparencia fiscal y surge la Auditoría Forense, revisión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realizada para lograr objetivos que impliquen una determinación judicial, antes supuestos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actos dolosos o fraudulentos, imponiendo la aplicación de técnicas, procedimientos específicos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o alternativos y normas de auditoría que permitan obtener evidencia de apoyo del poder</w:t>
      </w:r>
      <w:r w:rsidRPr="00EB1E96">
        <w:rPr>
          <w:rFonts w:ascii="Arial" w:hAnsi="Arial" w:cs="Arial"/>
          <w:sz w:val="24"/>
          <w:szCs w:val="24"/>
        </w:rPr>
        <w:t xml:space="preserve"> </w:t>
      </w:r>
      <w:r w:rsidRPr="00EB1E96">
        <w:rPr>
          <w:rFonts w:ascii="Arial" w:hAnsi="Arial" w:cs="Arial"/>
          <w:sz w:val="24"/>
          <w:szCs w:val="24"/>
        </w:rPr>
        <w:t>judicial</w:t>
      </w:r>
    </w:p>
    <w:p w:rsidR="00EB1E96" w:rsidRPr="00EB1E96" w:rsidRDefault="00EB1E96" w:rsidP="00EB1E96">
      <w:pPr>
        <w:jc w:val="both"/>
        <w:rPr>
          <w:rFonts w:ascii="Arial" w:hAnsi="Arial" w:cs="Arial"/>
          <w:sz w:val="24"/>
          <w:szCs w:val="24"/>
        </w:rPr>
      </w:pPr>
    </w:p>
    <w:p w:rsidR="00EB1E96" w:rsidRPr="00EB1E96" w:rsidRDefault="00EB1E96" w:rsidP="00EB1E96">
      <w:pPr>
        <w:jc w:val="both"/>
        <w:rPr>
          <w:rFonts w:ascii="Arial" w:hAnsi="Arial" w:cs="Arial"/>
          <w:sz w:val="24"/>
          <w:szCs w:val="24"/>
        </w:rPr>
      </w:pPr>
    </w:p>
    <w:p w:rsidR="00EB1E96" w:rsidRPr="00EB1E96" w:rsidRDefault="00EB1E96" w:rsidP="00EB1E96">
      <w:pPr>
        <w:jc w:val="both"/>
        <w:rPr>
          <w:rFonts w:ascii="Arial" w:hAnsi="Arial" w:cs="Arial"/>
          <w:sz w:val="24"/>
          <w:szCs w:val="24"/>
        </w:rPr>
      </w:pPr>
      <w:r w:rsidRPr="00EB1E96">
        <w:rPr>
          <w:rFonts w:ascii="Arial" w:hAnsi="Arial" w:cs="Arial"/>
          <w:sz w:val="24"/>
          <w:szCs w:val="24"/>
        </w:rPr>
        <w:t xml:space="preserve">Licenciatura </w:t>
      </w:r>
      <w:r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EB1E96">
        <w:rPr>
          <w:rFonts w:ascii="Arial" w:hAnsi="Arial" w:cs="Arial"/>
          <w:sz w:val="24"/>
          <w:szCs w:val="24"/>
        </w:rPr>
        <w:t>n Contaduría Pública, 2017.</w:t>
      </w:r>
    </w:p>
    <w:sectPr w:rsidR="00EB1E96" w:rsidRPr="00EB1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96"/>
    <w:rsid w:val="003066CC"/>
    <w:rsid w:val="008F3485"/>
    <w:rsid w:val="00E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4EEC1"/>
  <w15:chartTrackingRefBased/>
  <w15:docId w15:val="{B5E35B86-25EB-4580-9782-0C883EE1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2023-03-29T21:42:00Z</dcterms:created>
  <dcterms:modified xsi:type="dcterms:W3CDTF">2023-03-29T21:54:00Z</dcterms:modified>
</cp:coreProperties>
</file>