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6C0" w:rsidRDefault="00E446C0" w:rsidP="00E446C0">
      <w:pPr>
        <w:jc w:val="both"/>
        <w:rPr>
          <w:rFonts w:ascii="Arial" w:hAnsi="Arial" w:cs="Arial"/>
          <w:sz w:val="24"/>
          <w:szCs w:val="24"/>
        </w:rPr>
      </w:pPr>
      <w:r w:rsidRPr="00E446C0">
        <w:rPr>
          <w:rFonts w:ascii="Arial" w:hAnsi="Arial" w:cs="Arial"/>
          <w:sz w:val="24"/>
          <w:szCs w:val="24"/>
        </w:rPr>
        <w:t xml:space="preserve">Políticas de gestión administrativa y financiera de las </w:t>
      </w:r>
      <w:r>
        <w:rPr>
          <w:rFonts w:ascii="Arial" w:hAnsi="Arial" w:cs="Arial"/>
          <w:sz w:val="24"/>
          <w:szCs w:val="24"/>
        </w:rPr>
        <w:t>C</w:t>
      </w:r>
      <w:r w:rsidRPr="00E446C0">
        <w:rPr>
          <w:rFonts w:ascii="Arial" w:hAnsi="Arial" w:cs="Arial"/>
          <w:sz w:val="24"/>
          <w:szCs w:val="24"/>
        </w:rPr>
        <w:t xml:space="preserve">ooperativas </w:t>
      </w:r>
      <w:r>
        <w:rPr>
          <w:rFonts w:ascii="Arial" w:hAnsi="Arial" w:cs="Arial"/>
          <w:sz w:val="24"/>
          <w:szCs w:val="24"/>
        </w:rPr>
        <w:t>F</w:t>
      </w:r>
      <w:r w:rsidRPr="00E446C0">
        <w:rPr>
          <w:rFonts w:ascii="Arial" w:hAnsi="Arial" w:cs="Arial"/>
          <w:sz w:val="24"/>
          <w:szCs w:val="24"/>
        </w:rPr>
        <w:t xml:space="preserve">inancieras del Municipio </w:t>
      </w:r>
      <w:r>
        <w:rPr>
          <w:rFonts w:ascii="Arial" w:hAnsi="Arial" w:cs="Arial"/>
          <w:sz w:val="24"/>
          <w:szCs w:val="24"/>
        </w:rPr>
        <w:t>d</w:t>
      </w:r>
      <w:r w:rsidRPr="00E446C0">
        <w:rPr>
          <w:rFonts w:ascii="Arial" w:hAnsi="Arial" w:cs="Arial"/>
          <w:sz w:val="24"/>
          <w:szCs w:val="24"/>
        </w:rPr>
        <w:t xml:space="preserve">e Santa Ana, </w:t>
      </w:r>
      <w:r>
        <w:rPr>
          <w:rFonts w:ascii="Arial" w:hAnsi="Arial" w:cs="Arial"/>
          <w:sz w:val="24"/>
          <w:szCs w:val="24"/>
        </w:rPr>
        <w:t>p</w:t>
      </w:r>
      <w:r w:rsidRPr="00E446C0">
        <w:rPr>
          <w:rFonts w:ascii="Arial" w:hAnsi="Arial" w:cs="Arial"/>
          <w:sz w:val="24"/>
          <w:szCs w:val="24"/>
        </w:rPr>
        <w:t xml:space="preserve">ara </w:t>
      </w:r>
      <w:r>
        <w:rPr>
          <w:rFonts w:ascii="Arial" w:hAnsi="Arial" w:cs="Arial"/>
          <w:sz w:val="24"/>
          <w:szCs w:val="24"/>
        </w:rPr>
        <w:t>e</w:t>
      </w:r>
      <w:r w:rsidRPr="00E446C0">
        <w:rPr>
          <w:rFonts w:ascii="Arial" w:hAnsi="Arial" w:cs="Arial"/>
          <w:sz w:val="24"/>
          <w:szCs w:val="24"/>
        </w:rPr>
        <w:t xml:space="preserve">l </w:t>
      </w:r>
      <w:r>
        <w:rPr>
          <w:rFonts w:ascii="Arial" w:hAnsi="Arial" w:cs="Arial"/>
          <w:sz w:val="24"/>
          <w:szCs w:val="24"/>
        </w:rPr>
        <w:t>f</w:t>
      </w:r>
      <w:r w:rsidRPr="00E446C0">
        <w:rPr>
          <w:rFonts w:ascii="Arial" w:hAnsi="Arial" w:cs="Arial"/>
          <w:sz w:val="24"/>
          <w:szCs w:val="24"/>
        </w:rPr>
        <w:t xml:space="preserve">ortalecimiento </w:t>
      </w:r>
      <w:r>
        <w:rPr>
          <w:rFonts w:ascii="Arial" w:hAnsi="Arial" w:cs="Arial"/>
          <w:sz w:val="24"/>
          <w:szCs w:val="24"/>
        </w:rPr>
        <w:t>d</w:t>
      </w:r>
      <w:r w:rsidRPr="00E446C0">
        <w:rPr>
          <w:rFonts w:ascii="Arial" w:hAnsi="Arial" w:cs="Arial"/>
          <w:sz w:val="24"/>
          <w:szCs w:val="24"/>
        </w:rPr>
        <w:t xml:space="preserve">e </w:t>
      </w:r>
      <w:r>
        <w:rPr>
          <w:rFonts w:ascii="Arial" w:hAnsi="Arial" w:cs="Arial"/>
          <w:sz w:val="24"/>
          <w:szCs w:val="24"/>
        </w:rPr>
        <w:t>l</w:t>
      </w:r>
      <w:r w:rsidRPr="00E446C0">
        <w:rPr>
          <w:rFonts w:ascii="Arial" w:hAnsi="Arial" w:cs="Arial"/>
          <w:sz w:val="24"/>
          <w:szCs w:val="24"/>
        </w:rPr>
        <w:t>as M</w:t>
      </w:r>
      <w:r>
        <w:rPr>
          <w:rFonts w:ascii="Arial" w:hAnsi="Arial" w:cs="Arial"/>
          <w:sz w:val="24"/>
          <w:szCs w:val="24"/>
        </w:rPr>
        <w:t>YPES</w:t>
      </w:r>
    </w:p>
    <w:p w:rsidR="00E446C0" w:rsidRDefault="00E446C0" w:rsidP="00E446C0">
      <w:pPr>
        <w:jc w:val="both"/>
        <w:rPr>
          <w:rFonts w:ascii="Arial" w:hAnsi="Arial" w:cs="Arial"/>
          <w:sz w:val="24"/>
          <w:szCs w:val="24"/>
        </w:rPr>
      </w:pPr>
    </w:p>
    <w:p w:rsidR="00E446C0" w:rsidRDefault="00E446C0" w:rsidP="00E446C0">
      <w:pPr>
        <w:jc w:val="both"/>
        <w:rPr>
          <w:rFonts w:ascii="Arial" w:hAnsi="Arial" w:cs="Arial"/>
          <w:sz w:val="24"/>
          <w:szCs w:val="24"/>
        </w:rPr>
      </w:pPr>
      <w:bookmarkStart w:id="0" w:name="_GoBack"/>
      <w:r w:rsidRPr="00E446C0">
        <w:rPr>
          <w:rFonts w:ascii="Arial" w:hAnsi="Arial" w:cs="Arial"/>
          <w:sz w:val="24"/>
          <w:szCs w:val="24"/>
        </w:rPr>
        <w:t>Rodríguez Mebius</w:t>
      </w:r>
      <w:r>
        <w:rPr>
          <w:rFonts w:ascii="Arial" w:hAnsi="Arial" w:cs="Arial"/>
          <w:sz w:val="24"/>
          <w:szCs w:val="24"/>
        </w:rPr>
        <w:t>,</w:t>
      </w:r>
      <w:r w:rsidRPr="00E446C0">
        <w:rPr>
          <w:rFonts w:ascii="Arial" w:hAnsi="Arial" w:cs="Arial"/>
          <w:sz w:val="24"/>
          <w:szCs w:val="24"/>
        </w:rPr>
        <w:t xml:space="preserve"> Helen</w:t>
      </w:r>
      <w:bookmarkEnd w:id="0"/>
      <w:r w:rsidRPr="00E446C0">
        <w:rPr>
          <w:rFonts w:ascii="Arial" w:hAnsi="Arial" w:cs="Arial"/>
          <w:sz w:val="24"/>
          <w:szCs w:val="24"/>
        </w:rPr>
        <w:t xml:space="preserve"> Raquel</w:t>
      </w:r>
    </w:p>
    <w:p w:rsidR="00E446C0" w:rsidRDefault="00E446C0" w:rsidP="00E446C0">
      <w:pPr>
        <w:jc w:val="both"/>
        <w:rPr>
          <w:rFonts w:ascii="Arial" w:hAnsi="Arial" w:cs="Arial"/>
          <w:sz w:val="24"/>
          <w:szCs w:val="24"/>
        </w:rPr>
      </w:pPr>
    </w:p>
    <w:p w:rsidR="00E446C0" w:rsidRDefault="00E446C0" w:rsidP="00E446C0">
      <w:pPr>
        <w:jc w:val="both"/>
        <w:rPr>
          <w:rFonts w:ascii="Arial" w:hAnsi="Arial" w:cs="Arial"/>
          <w:sz w:val="24"/>
          <w:szCs w:val="24"/>
        </w:rPr>
      </w:pPr>
      <w:r w:rsidRPr="00E446C0">
        <w:rPr>
          <w:rFonts w:ascii="Arial" w:hAnsi="Arial" w:cs="Arial"/>
          <w:sz w:val="24"/>
          <w:szCs w:val="24"/>
        </w:rPr>
        <w:t xml:space="preserve">En el país, así como en muchos otros países, las Micro y Pequeñas Empresas (MYPES) representan un sector muy importante dentro de sus economías, ya que una gran parte de la población se encuentra desarrollando acciones en estas empresas, existe la necesidad de poner énfasis al progreso de este sector y por ende al desarrollo económico y social del país. Por tal razón la investigación se enfocará en conocer los diferentes mecanismos y políticas que las instituciones micro financieras brindan como apoyo al sector Occidente del país, específicamente en el departamento de Santa Ana, ya que en ciertas ocasiones existe un bajo acceso de financiamiento tradicional de este sector. </w:t>
      </w:r>
    </w:p>
    <w:p w:rsidR="00E446C0" w:rsidRDefault="00E446C0" w:rsidP="00E446C0">
      <w:pPr>
        <w:jc w:val="both"/>
        <w:rPr>
          <w:rFonts w:ascii="Arial" w:hAnsi="Arial" w:cs="Arial"/>
          <w:sz w:val="24"/>
          <w:szCs w:val="24"/>
        </w:rPr>
      </w:pPr>
    </w:p>
    <w:p w:rsidR="00E446C0" w:rsidRPr="00E446C0" w:rsidRDefault="00E446C0" w:rsidP="00E446C0">
      <w:pPr>
        <w:jc w:val="both"/>
        <w:rPr>
          <w:rFonts w:ascii="Arial" w:hAnsi="Arial" w:cs="Arial"/>
          <w:sz w:val="24"/>
          <w:szCs w:val="24"/>
        </w:rPr>
      </w:pPr>
      <w:r>
        <w:rPr>
          <w:rFonts w:ascii="Arial" w:hAnsi="Arial" w:cs="Arial"/>
          <w:sz w:val="24"/>
          <w:szCs w:val="24"/>
        </w:rPr>
        <w:t>M</w:t>
      </w:r>
      <w:r w:rsidRPr="00E446C0">
        <w:rPr>
          <w:rFonts w:ascii="Arial" w:hAnsi="Arial" w:cs="Arial"/>
          <w:sz w:val="24"/>
          <w:szCs w:val="24"/>
        </w:rPr>
        <w:t>aestra</w:t>
      </w:r>
      <w:r w:rsidRPr="00E446C0">
        <w:rPr>
          <w:rFonts w:ascii="Arial" w:hAnsi="Arial" w:cs="Arial"/>
          <w:sz w:val="24"/>
          <w:szCs w:val="24"/>
        </w:rPr>
        <w:t xml:space="preserve"> </w:t>
      </w:r>
      <w:r>
        <w:rPr>
          <w:rFonts w:ascii="Arial" w:hAnsi="Arial" w:cs="Arial"/>
          <w:sz w:val="24"/>
          <w:szCs w:val="24"/>
        </w:rPr>
        <w:t>e</w:t>
      </w:r>
      <w:r w:rsidRPr="00E446C0">
        <w:rPr>
          <w:rFonts w:ascii="Arial" w:hAnsi="Arial" w:cs="Arial"/>
          <w:sz w:val="24"/>
          <w:szCs w:val="24"/>
        </w:rPr>
        <w:t>n Administración Financiera</w:t>
      </w:r>
      <w:r>
        <w:rPr>
          <w:rFonts w:ascii="Arial" w:hAnsi="Arial" w:cs="Arial"/>
          <w:sz w:val="24"/>
          <w:szCs w:val="24"/>
        </w:rPr>
        <w:t>, 2017.</w:t>
      </w:r>
    </w:p>
    <w:sectPr w:rsidR="00E446C0" w:rsidRPr="00E446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C0"/>
    <w:rsid w:val="002F0E5B"/>
    <w:rsid w:val="003066CC"/>
    <w:rsid w:val="008F3485"/>
    <w:rsid w:val="00E446C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2969"/>
  <w15:chartTrackingRefBased/>
  <w15:docId w15:val="{8516FCF1-020E-4B52-B68C-91E95D40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6C0"/>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139</Words>
  <Characters>768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2023-03-31T21:52:00Z</dcterms:created>
  <dcterms:modified xsi:type="dcterms:W3CDTF">2023-03-31T22:04:00Z</dcterms:modified>
</cp:coreProperties>
</file>