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21" w:rsidRPr="00EA664A" w:rsidRDefault="00735021" w:rsidP="0073502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Metodología para realizar un análisis financiero como apoyo al desarrollo del trabajo del auditor, en la elaboración de una auditoría financiera</w:t>
      </w:r>
    </w:p>
    <w:p w:rsidR="00735021" w:rsidRDefault="00735021" w:rsidP="00735021">
      <w:pPr>
        <w:jc w:val="both"/>
        <w:rPr>
          <w:rFonts w:ascii="Arial" w:hAnsi="Arial" w:cs="Arial"/>
          <w:sz w:val="24"/>
          <w:szCs w:val="24"/>
        </w:rPr>
      </w:pPr>
    </w:p>
    <w:p w:rsidR="00735021" w:rsidRDefault="00735021" w:rsidP="0073502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 xml:space="preserve">Melgar Flores, Lizeth </w:t>
      </w:r>
      <w:bookmarkEnd w:id="0"/>
      <w:r w:rsidRPr="00EA664A">
        <w:rPr>
          <w:rFonts w:ascii="Arial" w:hAnsi="Arial" w:cs="Arial"/>
          <w:sz w:val="24"/>
          <w:szCs w:val="24"/>
        </w:rPr>
        <w:t>María Luisa</w:t>
      </w:r>
    </w:p>
    <w:p w:rsidR="00735021" w:rsidRDefault="00735021" w:rsidP="0073502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Mendoza, Oscar Ulises</w:t>
      </w:r>
    </w:p>
    <w:p w:rsidR="00735021" w:rsidRPr="00EA664A" w:rsidRDefault="00735021" w:rsidP="0073502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Valencia Juárez, Ana del Carmen</w:t>
      </w:r>
    </w:p>
    <w:p w:rsidR="00735021" w:rsidRPr="00EA664A" w:rsidRDefault="00735021" w:rsidP="00735021">
      <w:pPr>
        <w:jc w:val="both"/>
        <w:rPr>
          <w:rFonts w:ascii="Arial" w:hAnsi="Arial" w:cs="Arial"/>
          <w:sz w:val="24"/>
          <w:szCs w:val="24"/>
        </w:rPr>
      </w:pPr>
    </w:p>
    <w:p w:rsidR="00735021" w:rsidRPr="00735021" w:rsidRDefault="00735021" w:rsidP="0073502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Para poder comprender con más claridad cómo elaborar un análisis financiero previo a una auditoría financiera, se deben emplear ratios o razones financieras conforme a los estados financieros de la empresa. El análisis financiero es de suma importancia para el propietario o inversionistas, pues influye de manera significativa en la toma de decisiones y éstas como tal son el indicador del futuro de la entidad. </w:t>
      </w:r>
      <w:r w:rsidRPr="00735021">
        <w:rPr>
          <w:rFonts w:ascii="Arial" w:hAnsi="Arial" w:cs="Arial"/>
          <w:sz w:val="24"/>
          <w:szCs w:val="24"/>
        </w:rPr>
        <w:t xml:space="preserve">Es trascendental tomar en cuenta que exista una extensa gama de normas técnicas y legales, para la correcta elaboración de una </w:t>
      </w:r>
      <w:r>
        <w:rPr>
          <w:rFonts w:ascii="Arial" w:hAnsi="Arial" w:cs="Arial"/>
          <w:sz w:val="24"/>
          <w:szCs w:val="24"/>
        </w:rPr>
        <w:t>a</w:t>
      </w:r>
      <w:r w:rsidRPr="00735021">
        <w:rPr>
          <w:rFonts w:ascii="Arial" w:hAnsi="Arial" w:cs="Arial"/>
          <w:sz w:val="24"/>
          <w:szCs w:val="24"/>
        </w:rPr>
        <w:t>uditoría</w:t>
      </w:r>
      <w:r w:rsidRPr="007350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735021">
        <w:rPr>
          <w:rFonts w:ascii="Arial" w:hAnsi="Arial" w:cs="Arial"/>
          <w:sz w:val="24"/>
          <w:szCs w:val="24"/>
        </w:rPr>
        <w:t xml:space="preserve">inanciera, previo a esto y con el empleo de las razones financieras que son las que nos permiten conocer la situación financiera de la empresa, para poder realizar el respectivo análisis financiero. </w:t>
      </w:r>
    </w:p>
    <w:p w:rsidR="00B936D3" w:rsidRDefault="00735021"/>
    <w:p w:rsidR="00735021" w:rsidRPr="00EA664A" w:rsidRDefault="00735021" w:rsidP="0073502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Licenciatura en Contaduría Pública</w:t>
      </w:r>
      <w:r>
        <w:rPr>
          <w:rFonts w:ascii="Arial" w:hAnsi="Arial" w:cs="Arial"/>
          <w:sz w:val="24"/>
          <w:szCs w:val="24"/>
        </w:rPr>
        <w:t>, 2018.</w:t>
      </w:r>
    </w:p>
    <w:p w:rsidR="00735021" w:rsidRDefault="00735021"/>
    <w:sectPr w:rsidR="00735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21"/>
    <w:rsid w:val="003066CC"/>
    <w:rsid w:val="00735021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D1ADAF"/>
  <w15:chartTrackingRefBased/>
  <w15:docId w15:val="{C2711717-8A5F-4875-B935-0FFE1B34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021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2023-04-23T20:15:00Z</dcterms:created>
  <dcterms:modified xsi:type="dcterms:W3CDTF">2023-04-23T20:20:00Z</dcterms:modified>
</cp:coreProperties>
</file>