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74" w:rsidRPr="00EA664A" w:rsidRDefault="00347B74" w:rsidP="00347B74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Eficacia de la nulidad de reconocimiento voluntario de paternidad como un mecanismo para el desplazamiento de la filiación paterna</w:t>
      </w:r>
    </w:p>
    <w:p w:rsidR="00820EAA" w:rsidRDefault="00820EAA" w:rsidP="00347B74">
      <w:pPr>
        <w:jc w:val="both"/>
        <w:rPr>
          <w:rFonts w:ascii="Arial" w:hAnsi="Arial" w:cs="Arial"/>
          <w:sz w:val="24"/>
          <w:szCs w:val="24"/>
        </w:rPr>
      </w:pPr>
    </w:p>
    <w:p w:rsidR="00820EAA" w:rsidRDefault="00347B74" w:rsidP="00347B7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Muñoz Alfaro, Josselyn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Gabriela</w:t>
      </w:r>
    </w:p>
    <w:p w:rsidR="00347B74" w:rsidRPr="00EA664A" w:rsidRDefault="00347B74" w:rsidP="00347B74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Rivera Quijada, Rebeca Idalia</w:t>
      </w:r>
    </w:p>
    <w:p w:rsidR="00347B74" w:rsidRPr="00EA664A" w:rsidRDefault="00347B74" w:rsidP="00347B74">
      <w:pPr>
        <w:jc w:val="both"/>
        <w:rPr>
          <w:rFonts w:ascii="Arial" w:hAnsi="Arial" w:cs="Arial"/>
          <w:sz w:val="24"/>
          <w:szCs w:val="24"/>
        </w:rPr>
      </w:pPr>
    </w:p>
    <w:p w:rsidR="00347B74" w:rsidRPr="00EA664A" w:rsidRDefault="00347B74" w:rsidP="00347B74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José Manuel Pineda Calderón; Mirna Elizabeth Chigüila de Macall Zometa</w:t>
      </w:r>
    </w:p>
    <w:p w:rsidR="00820EAA" w:rsidRDefault="00820EAA" w:rsidP="00347B74">
      <w:pPr>
        <w:jc w:val="both"/>
        <w:rPr>
          <w:rFonts w:ascii="Arial" w:hAnsi="Arial" w:cs="Arial"/>
          <w:sz w:val="24"/>
          <w:szCs w:val="24"/>
        </w:rPr>
      </w:pPr>
    </w:p>
    <w:p w:rsidR="00820EAA" w:rsidRPr="00820EAA" w:rsidRDefault="00820EAA" w:rsidP="00820EAA">
      <w:pPr>
        <w:jc w:val="both"/>
        <w:rPr>
          <w:rFonts w:ascii="Arial" w:hAnsi="Arial" w:cs="Arial"/>
          <w:sz w:val="24"/>
          <w:szCs w:val="24"/>
        </w:rPr>
      </w:pPr>
      <w:r w:rsidRPr="00820EAA">
        <w:rPr>
          <w:rFonts w:ascii="Arial" w:hAnsi="Arial" w:cs="Arial"/>
          <w:sz w:val="24"/>
          <w:szCs w:val="24"/>
        </w:rPr>
        <w:t xml:space="preserve">En El Salvador ha existido una infinidad de situaciones que aquejan a sus ciudadanos, sin embargo a la medida que estos van surgiendo renace un nuevo ordenamiento jurídico con la finalidad de poner orden en la sociedad; entre las situaciones problemáticas se encuentra el proceso </w:t>
      </w:r>
      <w:r>
        <w:rPr>
          <w:rFonts w:ascii="Arial" w:hAnsi="Arial" w:cs="Arial"/>
          <w:sz w:val="24"/>
          <w:szCs w:val="24"/>
        </w:rPr>
        <w:t>n</w:t>
      </w:r>
      <w:r w:rsidRPr="00820EAA">
        <w:rPr>
          <w:rFonts w:ascii="Arial" w:hAnsi="Arial" w:cs="Arial"/>
          <w:sz w:val="24"/>
          <w:szCs w:val="24"/>
        </w:rPr>
        <w:t xml:space="preserve">ulidad de </w:t>
      </w:r>
      <w:r>
        <w:rPr>
          <w:rFonts w:ascii="Arial" w:hAnsi="Arial" w:cs="Arial"/>
          <w:sz w:val="24"/>
          <w:szCs w:val="24"/>
        </w:rPr>
        <w:t>r</w:t>
      </w:r>
      <w:r w:rsidRPr="00820EAA">
        <w:rPr>
          <w:rFonts w:ascii="Arial" w:hAnsi="Arial" w:cs="Arial"/>
          <w:sz w:val="24"/>
          <w:szCs w:val="24"/>
        </w:rPr>
        <w:t xml:space="preserve">econocimiento </w:t>
      </w:r>
      <w:r>
        <w:rPr>
          <w:rFonts w:ascii="Arial" w:hAnsi="Arial" w:cs="Arial"/>
          <w:sz w:val="24"/>
          <w:szCs w:val="24"/>
        </w:rPr>
        <w:t>v</w:t>
      </w:r>
      <w:r w:rsidRPr="00820EAA">
        <w:rPr>
          <w:rFonts w:ascii="Arial" w:hAnsi="Arial" w:cs="Arial"/>
          <w:sz w:val="24"/>
          <w:szCs w:val="24"/>
        </w:rPr>
        <w:t xml:space="preserve">oluntario de </w:t>
      </w:r>
      <w:r>
        <w:rPr>
          <w:rFonts w:ascii="Arial" w:hAnsi="Arial" w:cs="Arial"/>
          <w:sz w:val="24"/>
          <w:szCs w:val="24"/>
        </w:rPr>
        <w:t>p</w:t>
      </w:r>
      <w:r w:rsidRPr="00820EAA">
        <w:rPr>
          <w:rFonts w:ascii="Arial" w:hAnsi="Arial" w:cs="Arial"/>
          <w:sz w:val="24"/>
          <w:szCs w:val="24"/>
        </w:rPr>
        <w:t xml:space="preserve">aternidad, este proceso no es muy conocido por la sociedad salvadoreña debido a la poca información que existe, así mismo induce a una confusión con el proceso de </w:t>
      </w:r>
      <w:r>
        <w:rPr>
          <w:rFonts w:ascii="Arial" w:hAnsi="Arial" w:cs="Arial"/>
          <w:sz w:val="24"/>
          <w:szCs w:val="24"/>
        </w:rPr>
        <w:t>i</w:t>
      </w:r>
      <w:r w:rsidRPr="00820EAA">
        <w:rPr>
          <w:rFonts w:ascii="Arial" w:hAnsi="Arial" w:cs="Arial"/>
          <w:sz w:val="24"/>
          <w:szCs w:val="24"/>
        </w:rPr>
        <w:t xml:space="preserve">mpugnación de </w:t>
      </w:r>
      <w:r>
        <w:rPr>
          <w:rFonts w:ascii="Arial" w:hAnsi="Arial" w:cs="Arial"/>
          <w:sz w:val="24"/>
          <w:szCs w:val="24"/>
        </w:rPr>
        <w:t>r</w:t>
      </w:r>
      <w:r w:rsidRPr="00820EAA">
        <w:rPr>
          <w:rFonts w:ascii="Arial" w:hAnsi="Arial" w:cs="Arial"/>
          <w:sz w:val="24"/>
          <w:szCs w:val="24"/>
        </w:rPr>
        <w:t xml:space="preserve">econocimiento </w:t>
      </w:r>
      <w:r>
        <w:rPr>
          <w:rFonts w:ascii="Arial" w:hAnsi="Arial" w:cs="Arial"/>
          <w:sz w:val="24"/>
          <w:szCs w:val="24"/>
        </w:rPr>
        <w:t>v</w:t>
      </w:r>
      <w:r w:rsidRPr="00820EAA">
        <w:rPr>
          <w:rFonts w:ascii="Arial" w:hAnsi="Arial" w:cs="Arial"/>
          <w:sz w:val="24"/>
          <w:szCs w:val="24"/>
        </w:rPr>
        <w:t xml:space="preserve">oluntario de </w:t>
      </w:r>
      <w:r>
        <w:rPr>
          <w:rFonts w:ascii="Arial" w:hAnsi="Arial" w:cs="Arial"/>
          <w:sz w:val="24"/>
          <w:szCs w:val="24"/>
        </w:rPr>
        <w:t>p</w:t>
      </w:r>
      <w:r w:rsidRPr="00820EAA">
        <w:rPr>
          <w:rFonts w:ascii="Arial" w:hAnsi="Arial" w:cs="Arial"/>
          <w:sz w:val="24"/>
          <w:szCs w:val="24"/>
        </w:rPr>
        <w:t>aternidad, lo cual es totalmente erróneo, debido a que la primera se origina desde el momento que adolece un vicio del consentimiento y el reconociente está en todo su derecho de solicitar el proceso, sin embargo el proceso de Impugnación no puede solicitarlo el reconociente sino un hijo, un ascendiente o un tercero interesado.</w:t>
      </w:r>
    </w:p>
    <w:p w:rsidR="00820EAA" w:rsidRDefault="00820EAA" w:rsidP="00820EAA">
      <w:pPr>
        <w:jc w:val="both"/>
        <w:rPr>
          <w:rFonts w:ascii="Arial" w:hAnsi="Arial" w:cs="Arial"/>
          <w:sz w:val="24"/>
          <w:szCs w:val="24"/>
        </w:rPr>
      </w:pPr>
    </w:p>
    <w:p w:rsidR="00820EAA" w:rsidRPr="00EA664A" w:rsidRDefault="00820EAA" w:rsidP="00820EAA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Licenciatura en Ciencias Jurídicas</w:t>
      </w:r>
      <w:r>
        <w:rPr>
          <w:rFonts w:ascii="Arial" w:hAnsi="Arial" w:cs="Arial"/>
          <w:sz w:val="24"/>
          <w:szCs w:val="24"/>
        </w:rPr>
        <w:t>, 2018.</w:t>
      </w:r>
    </w:p>
    <w:p w:rsidR="00820EAA" w:rsidRPr="00EA664A" w:rsidRDefault="00820EAA" w:rsidP="00347B74">
      <w:pPr>
        <w:jc w:val="both"/>
        <w:rPr>
          <w:rFonts w:ascii="Arial" w:hAnsi="Arial" w:cs="Arial"/>
          <w:sz w:val="24"/>
          <w:szCs w:val="24"/>
        </w:rPr>
      </w:pPr>
    </w:p>
    <w:p w:rsidR="00347B74" w:rsidRDefault="00347B74"/>
    <w:sectPr w:rsidR="00347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74"/>
    <w:rsid w:val="003066CC"/>
    <w:rsid w:val="00347B74"/>
    <w:rsid w:val="00820EAA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6E01A"/>
  <w15:chartTrackingRefBased/>
  <w15:docId w15:val="{E0AC2F7F-2EA9-4197-A6CF-A1AEBB1A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74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2023-04-30T20:07:00Z</dcterms:created>
  <dcterms:modified xsi:type="dcterms:W3CDTF">2023-04-30T23:15:00Z</dcterms:modified>
</cp:coreProperties>
</file>