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30" w:rsidRPr="00EA664A" w:rsidRDefault="004A7030" w:rsidP="004A703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Análisis jurídico de la interferencia de las comunicaciones en la periferia de los centros de cumplimiento de pena</w:t>
      </w:r>
    </w:p>
    <w:p w:rsidR="004A7030" w:rsidRDefault="004A7030" w:rsidP="004A7030">
      <w:pPr>
        <w:jc w:val="both"/>
        <w:rPr>
          <w:rFonts w:ascii="Arial" w:hAnsi="Arial" w:cs="Arial"/>
          <w:sz w:val="24"/>
          <w:szCs w:val="24"/>
        </w:rPr>
      </w:pPr>
    </w:p>
    <w:p w:rsidR="004A7030" w:rsidRDefault="004A7030" w:rsidP="004A703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Durán Sánchez, Eduardo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José</w:t>
      </w:r>
    </w:p>
    <w:p w:rsidR="004A7030" w:rsidRDefault="004A7030" w:rsidP="004A703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Martínez Ramírez, Ana Gloria</w:t>
      </w:r>
    </w:p>
    <w:p w:rsidR="004A7030" w:rsidRDefault="004A7030" w:rsidP="004A703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Martínez Ramírez, Ana Luz</w:t>
      </w:r>
    </w:p>
    <w:p w:rsidR="004A7030" w:rsidRDefault="004A7030" w:rsidP="004A703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Portillo Díaz, Salvador Antonio</w:t>
      </w:r>
    </w:p>
    <w:p w:rsidR="004A7030" w:rsidRPr="00EA664A" w:rsidRDefault="004A7030" w:rsidP="004A703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Silva Alvarado, Alfredo Miguel Armando </w:t>
      </w:r>
    </w:p>
    <w:p w:rsidR="004A7030" w:rsidRDefault="004A7030" w:rsidP="004A7030">
      <w:pPr>
        <w:jc w:val="both"/>
        <w:rPr>
          <w:rFonts w:ascii="Arial" w:hAnsi="Arial" w:cs="Arial"/>
          <w:sz w:val="24"/>
          <w:szCs w:val="24"/>
        </w:rPr>
      </w:pPr>
    </w:p>
    <w:p w:rsidR="004A7030" w:rsidRPr="00EA664A" w:rsidRDefault="004A7030" w:rsidP="004A703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Raymundo Alirio Carballo Mejía</w:t>
      </w:r>
    </w:p>
    <w:p w:rsidR="004A7030" w:rsidRDefault="004A7030" w:rsidP="004A7030">
      <w:pPr>
        <w:jc w:val="both"/>
        <w:rPr>
          <w:rFonts w:ascii="Arial" w:hAnsi="Arial" w:cs="Arial"/>
          <w:sz w:val="24"/>
          <w:szCs w:val="24"/>
        </w:rPr>
      </w:pPr>
    </w:p>
    <w:p w:rsidR="004A7030" w:rsidRDefault="004A7030" w:rsidP="004A7030">
      <w:pPr>
        <w:jc w:val="both"/>
        <w:rPr>
          <w:rFonts w:ascii="Arial" w:hAnsi="Arial" w:cs="Arial"/>
          <w:sz w:val="24"/>
          <w:szCs w:val="24"/>
        </w:rPr>
      </w:pPr>
      <w:r w:rsidRPr="004A7030">
        <w:rPr>
          <w:rFonts w:ascii="Arial" w:hAnsi="Arial" w:cs="Arial"/>
          <w:sz w:val="24"/>
          <w:szCs w:val="24"/>
        </w:rPr>
        <w:t xml:space="preserve">Hablar sobre la comunicación telefónica conlleva una serie de factores entre los cuales está el derecho a la comunicación, por ser un derecho implícito en el ser humano siendo relevante conocer que existen acciones que atentan contra las mismas, una de las cuáles es el centro de esta investigación y que se analizará como una medida extraordinaria las cuales consisten en inhibidores o mejor conocidos como bloqueadores de señales telefónicas dentro de los </w:t>
      </w:r>
      <w:r>
        <w:rPr>
          <w:rFonts w:ascii="Arial" w:hAnsi="Arial" w:cs="Arial"/>
          <w:sz w:val="24"/>
          <w:szCs w:val="24"/>
        </w:rPr>
        <w:t>c</w:t>
      </w:r>
      <w:r w:rsidRPr="004A7030">
        <w:rPr>
          <w:rFonts w:ascii="Arial" w:hAnsi="Arial" w:cs="Arial"/>
          <w:sz w:val="24"/>
          <w:szCs w:val="24"/>
        </w:rPr>
        <w:t xml:space="preserve">entros de </w:t>
      </w:r>
      <w:r>
        <w:rPr>
          <w:rFonts w:ascii="Arial" w:hAnsi="Arial" w:cs="Arial"/>
          <w:sz w:val="24"/>
          <w:szCs w:val="24"/>
        </w:rPr>
        <w:t>c</w:t>
      </w:r>
      <w:r w:rsidRPr="004A7030">
        <w:rPr>
          <w:rFonts w:ascii="Arial" w:hAnsi="Arial" w:cs="Arial"/>
          <w:sz w:val="24"/>
          <w:szCs w:val="24"/>
        </w:rPr>
        <w:t xml:space="preserve">umplimientos de </w:t>
      </w:r>
      <w:r>
        <w:rPr>
          <w:rFonts w:ascii="Arial" w:hAnsi="Arial" w:cs="Arial"/>
          <w:sz w:val="24"/>
          <w:szCs w:val="24"/>
        </w:rPr>
        <w:t>p</w:t>
      </w:r>
      <w:r w:rsidRPr="004A7030">
        <w:rPr>
          <w:rFonts w:ascii="Arial" w:hAnsi="Arial" w:cs="Arial"/>
          <w:sz w:val="24"/>
          <w:szCs w:val="24"/>
        </w:rPr>
        <w:t xml:space="preserve">enas. El impacto de la afectación de los bloqueadores de señal telefónica sobre la población aledaña a dichos </w:t>
      </w:r>
      <w:r>
        <w:rPr>
          <w:rFonts w:ascii="Arial" w:hAnsi="Arial" w:cs="Arial"/>
          <w:sz w:val="24"/>
          <w:szCs w:val="24"/>
        </w:rPr>
        <w:t>c</w:t>
      </w:r>
      <w:r w:rsidRPr="004A7030">
        <w:rPr>
          <w:rFonts w:ascii="Arial" w:hAnsi="Arial" w:cs="Arial"/>
          <w:sz w:val="24"/>
          <w:szCs w:val="24"/>
        </w:rPr>
        <w:t xml:space="preserve">entros de </w:t>
      </w:r>
      <w:r>
        <w:rPr>
          <w:rFonts w:ascii="Arial" w:hAnsi="Arial" w:cs="Arial"/>
          <w:sz w:val="24"/>
          <w:szCs w:val="24"/>
        </w:rPr>
        <w:t>c</w:t>
      </w:r>
      <w:r w:rsidRPr="004A7030">
        <w:rPr>
          <w:rFonts w:ascii="Arial" w:hAnsi="Arial" w:cs="Arial"/>
          <w:sz w:val="24"/>
          <w:szCs w:val="24"/>
        </w:rPr>
        <w:t xml:space="preserve">umplimientos de </w:t>
      </w:r>
      <w:r>
        <w:rPr>
          <w:rFonts w:ascii="Arial" w:hAnsi="Arial" w:cs="Arial"/>
          <w:sz w:val="24"/>
          <w:szCs w:val="24"/>
        </w:rPr>
        <w:t>p</w:t>
      </w:r>
      <w:r w:rsidRPr="004A7030">
        <w:rPr>
          <w:rFonts w:ascii="Arial" w:hAnsi="Arial" w:cs="Arial"/>
          <w:sz w:val="24"/>
          <w:szCs w:val="24"/>
        </w:rPr>
        <w:t>enas, en sus vidas diarias, si dicha medida extraordinaria conlleva ventajas y a la vez desventajas para la población</w:t>
      </w:r>
      <w:r>
        <w:rPr>
          <w:rFonts w:ascii="Arial" w:hAnsi="Arial" w:cs="Arial"/>
          <w:sz w:val="24"/>
          <w:szCs w:val="24"/>
        </w:rPr>
        <w:t>.</w:t>
      </w:r>
    </w:p>
    <w:p w:rsidR="004A7030" w:rsidRDefault="004A7030" w:rsidP="004A7030">
      <w:pPr>
        <w:jc w:val="both"/>
        <w:rPr>
          <w:rFonts w:ascii="Arial" w:hAnsi="Arial" w:cs="Arial"/>
          <w:sz w:val="24"/>
          <w:szCs w:val="24"/>
        </w:rPr>
      </w:pPr>
    </w:p>
    <w:p w:rsidR="004A7030" w:rsidRPr="00EA664A" w:rsidRDefault="004A7030" w:rsidP="004A703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Licenciatura en Ciencias Jurídicas</w:t>
      </w:r>
      <w:r>
        <w:rPr>
          <w:rFonts w:ascii="Arial" w:hAnsi="Arial" w:cs="Arial"/>
          <w:sz w:val="24"/>
          <w:szCs w:val="24"/>
        </w:rPr>
        <w:t>, 2018.</w:t>
      </w:r>
    </w:p>
    <w:p w:rsidR="004A7030" w:rsidRDefault="004A7030"/>
    <w:sectPr w:rsidR="004A7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0"/>
    <w:rsid w:val="003066CC"/>
    <w:rsid w:val="004A7030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7949A"/>
  <w15:chartTrackingRefBased/>
  <w15:docId w15:val="{FC1E4AF1-6E25-4A73-84DC-DD2252B9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3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2023-04-30T23:38:00Z</dcterms:created>
  <dcterms:modified xsi:type="dcterms:W3CDTF">2023-04-30T23:48:00Z</dcterms:modified>
</cp:coreProperties>
</file>