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C4" w:rsidRDefault="00237BC4" w:rsidP="00237BC4">
      <w:pPr>
        <w:jc w:val="both"/>
        <w:rPr>
          <w:rFonts w:ascii="Arial" w:hAnsi="Arial" w:cs="Arial"/>
          <w:sz w:val="24"/>
          <w:szCs w:val="24"/>
        </w:rPr>
      </w:pPr>
      <w:r w:rsidRPr="00376CBB">
        <w:rPr>
          <w:rFonts w:ascii="Arial" w:hAnsi="Arial" w:cs="Arial"/>
          <w:sz w:val="24"/>
          <w:szCs w:val="24"/>
        </w:rPr>
        <w:t xml:space="preserve">Propuesta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376CBB">
        <w:rPr>
          <w:rFonts w:ascii="Arial" w:hAnsi="Arial" w:cs="Arial"/>
          <w:sz w:val="24"/>
          <w:szCs w:val="24"/>
        </w:rPr>
        <w:t xml:space="preserve">íneas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</w:t>
      </w:r>
      <w:r w:rsidRPr="00376CBB">
        <w:rPr>
          <w:rFonts w:ascii="Arial" w:hAnsi="Arial" w:cs="Arial"/>
          <w:sz w:val="24"/>
          <w:szCs w:val="24"/>
        </w:rPr>
        <w:t xml:space="preserve">plicación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376CBB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t</w:t>
      </w:r>
      <w:r w:rsidRPr="00376CBB">
        <w:rPr>
          <w:rFonts w:ascii="Arial" w:hAnsi="Arial" w:cs="Arial"/>
          <w:sz w:val="24"/>
          <w:szCs w:val="24"/>
        </w:rPr>
        <w:t xml:space="preserve">ecnologías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</w:t>
      </w:r>
      <w:r w:rsidRPr="00376CBB">
        <w:rPr>
          <w:rFonts w:ascii="Arial" w:hAnsi="Arial" w:cs="Arial"/>
          <w:sz w:val="24"/>
          <w:szCs w:val="24"/>
        </w:rPr>
        <w:t xml:space="preserve">nformación </w:t>
      </w:r>
      <w:r>
        <w:rPr>
          <w:rFonts w:ascii="Arial" w:hAnsi="Arial" w:cs="Arial"/>
          <w:sz w:val="24"/>
          <w:szCs w:val="24"/>
        </w:rPr>
        <w:t>y</w:t>
      </w:r>
      <w:r w:rsidRPr="00376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76CBB">
        <w:rPr>
          <w:rFonts w:ascii="Arial" w:hAnsi="Arial" w:cs="Arial"/>
          <w:sz w:val="24"/>
          <w:szCs w:val="24"/>
        </w:rPr>
        <w:t xml:space="preserve">omunicación </w:t>
      </w:r>
      <w:r>
        <w:rPr>
          <w:rFonts w:ascii="Arial" w:hAnsi="Arial" w:cs="Arial"/>
          <w:sz w:val="24"/>
          <w:szCs w:val="24"/>
        </w:rPr>
        <w:t>e</w:t>
      </w:r>
      <w:r w:rsidRPr="00376CBB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376CBB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p</w:t>
      </w:r>
      <w:r w:rsidRPr="00376CBB">
        <w:rPr>
          <w:rFonts w:ascii="Arial" w:hAnsi="Arial" w:cs="Arial"/>
          <w:sz w:val="24"/>
          <w:szCs w:val="24"/>
        </w:rPr>
        <w:t xml:space="preserve">rocesos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e</w:t>
      </w:r>
      <w:r w:rsidRPr="00376CBB">
        <w:rPr>
          <w:rFonts w:ascii="Arial" w:hAnsi="Arial" w:cs="Arial"/>
          <w:sz w:val="24"/>
          <w:szCs w:val="24"/>
        </w:rPr>
        <w:t>nseñanza-</w:t>
      </w:r>
      <w:r>
        <w:rPr>
          <w:rFonts w:ascii="Arial" w:hAnsi="Arial" w:cs="Arial"/>
          <w:sz w:val="24"/>
          <w:szCs w:val="24"/>
        </w:rPr>
        <w:t>a</w:t>
      </w:r>
      <w:r w:rsidRPr="00376CBB">
        <w:rPr>
          <w:rFonts w:ascii="Arial" w:hAnsi="Arial" w:cs="Arial"/>
          <w:sz w:val="24"/>
          <w:szCs w:val="24"/>
        </w:rPr>
        <w:t xml:space="preserve">prendizaje </w:t>
      </w:r>
      <w:r>
        <w:rPr>
          <w:rFonts w:ascii="Arial" w:hAnsi="Arial" w:cs="Arial"/>
          <w:sz w:val="24"/>
          <w:szCs w:val="24"/>
        </w:rPr>
        <w:t>p</w:t>
      </w:r>
      <w:r w:rsidRPr="00376CBB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ocentes </w:t>
      </w:r>
      <w:r>
        <w:rPr>
          <w:rFonts w:ascii="Arial" w:hAnsi="Arial" w:cs="Arial"/>
          <w:sz w:val="24"/>
          <w:szCs w:val="24"/>
        </w:rPr>
        <w:t>y</w:t>
      </w:r>
      <w:r w:rsidRPr="00376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376CBB">
        <w:rPr>
          <w:rFonts w:ascii="Arial" w:hAnsi="Arial" w:cs="Arial"/>
          <w:sz w:val="24"/>
          <w:szCs w:val="24"/>
        </w:rPr>
        <w:t xml:space="preserve">studiantes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c</w:t>
      </w:r>
      <w:r w:rsidRPr="00376CBB">
        <w:rPr>
          <w:rFonts w:ascii="Arial" w:hAnsi="Arial" w:cs="Arial"/>
          <w:sz w:val="24"/>
          <w:szCs w:val="24"/>
        </w:rPr>
        <w:t xml:space="preserve">urso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</w:t>
      </w:r>
      <w:r w:rsidRPr="00376CBB">
        <w:rPr>
          <w:rFonts w:ascii="Arial" w:hAnsi="Arial" w:cs="Arial"/>
          <w:sz w:val="24"/>
          <w:szCs w:val="24"/>
        </w:rPr>
        <w:t xml:space="preserve">scenso </w:t>
      </w:r>
      <w:r>
        <w:rPr>
          <w:rFonts w:ascii="Arial" w:hAnsi="Arial" w:cs="Arial"/>
          <w:sz w:val="24"/>
          <w:szCs w:val="24"/>
        </w:rPr>
        <w:t>a</w:t>
      </w:r>
      <w:r w:rsidRPr="00376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76CBB">
        <w:rPr>
          <w:rFonts w:ascii="Arial" w:hAnsi="Arial" w:cs="Arial"/>
          <w:sz w:val="24"/>
          <w:szCs w:val="24"/>
        </w:rPr>
        <w:t xml:space="preserve">ategoría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</w:t>
      </w:r>
      <w:r w:rsidRPr="00376CBB">
        <w:rPr>
          <w:rFonts w:ascii="Arial" w:hAnsi="Arial" w:cs="Arial"/>
          <w:sz w:val="24"/>
          <w:szCs w:val="24"/>
        </w:rPr>
        <w:t xml:space="preserve">nspector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376CBB">
        <w:rPr>
          <w:rFonts w:ascii="Arial" w:hAnsi="Arial" w:cs="Arial"/>
          <w:sz w:val="24"/>
          <w:szCs w:val="24"/>
        </w:rPr>
        <w:t xml:space="preserve">a Academia Nacional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>e Seguridad Pública. (I</w:t>
      </w:r>
      <w:r>
        <w:rPr>
          <w:rFonts w:ascii="Arial" w:hAnsi="Arial" w:cs="Arial"/>
          <w:sz w:val="24"/>
          <w:szCs w:val="24"/>
        </w:rPr>
        <w:t>ES</w:t>
      </w:r>
      <w:r w:rsidRPr="00376CBB">
        <w:rPr>
          <w:rFonts w:ascii="Arial" w:hAnsi="Arial" w:cs="Arial"/>
          <w:sz w:val="24"/>
          <w:szCs w:val="24"/>
        </w:rPr>
        <w:t>-A</w:t>
      </w:r>
      <w:r>
        <w:rPr>
          <w:rFonts w:ascii="Arial" w:hAnsi="Arial" w:cs="Arial"/>
          <w:sz w:val="24"/>
          <w:szCs w:val="24"/>
        </w:rPr>
        <w:t>NSP</w:t>
      </w:r>
      <w:r w:rsidRPr="00376CB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El Salvador, </w:t>
      </w:r>
      <w:r>
        <w:rPr>
          <w:rFonts w:ascii="Arial" w:hAnsi="Arial" w:cs="Arial"/>
          <w:sz w:val="24"/>
          <w:szCs w:val="24"/>
        </w:rPr>
        <w:t>e</w:t>
      </w:r>
      <w:r w:rsidRPr="00376CBB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p</w:t>
      </w:r>
      <w:r w:rsidRPr="00376CBB">
        <w:rPr>
          <w:rFonts w:ascii="Arial" w:hAnsi="Arial" w:cs="Arial"/>
          <w:sz w:val="24"/>
          <w:szCs w:val="24"/>
        </w:rPr>
        <w:t xml:space="preserve">eríodo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f</w:t>
      </w:r>
      <w:r w:rsidRPr="00376CBB">
        <w:rPr>
          <w:rFonts w:ascii="Arial" w:hAnsi="Arial" w:cs="Arial"/>
          <w:sz w:val="24"/>
          <w:szCs w:val="24"/>
        </w:rPr>
        <w:t xml:space="preserve">ebrero </w:t>
      </w:r>
      <w:r>
        <w:rPr>
          <w:rFonts w:ascii="Arial" w:hAnsi="Arial" w:cs="Arial"/>
          <w:sz w:val="24"/>
          <w:szCs w:val="24"/>
        </w:rPr>
        <w:t>a</w:t>
      </w:r>
      <w:r w:rsidRPr="00376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376CBB">
        <w:rPr>
          <w:rFonts w:ascii="Arial" w:hAnsi="Arial" w:cs="Arial"/>
          <w:sz w:val="24"/>
          <w:szCs w:val="24"/>
        </w:rPr>
        <w:t xml:space="preserve">unio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>e 2017</w:t>
      </w:r>
    </w:p>
    <w:p w:rsidR="00237BC4" w:rsidRDefault="00237BC4" w:rsidP="00237BC4">
      <w:pPr>
        <w:jc w:val="both"/>
        <w:rPr>
          <w:rFonts w:ascii="Arial" w:hAnsi="Arial" w:cs="Arial"/>
          <w:sz w:val="24"/>
          <w:szCs w:val="24"/>
        </w:rPr>
      </w:pPr>
    </w:p>
    <w:p w:rsidR="00237BC4" w:rsidRDefault="00237BC4" w:rsidP="00237BC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76CBB">
        <w:rPr>
          <w:rFonts w:ascii="Arial" w:hAnsi="Arial" w:cs="Arial"/>
          <w:sz w:val="24"/>
          <w:szCs w:val="24"/>
        </w:rPr>
        <w:t>Álvarez Mejía, Jorge</w:t>
      </w:r>
    </w:p>
    <w:bookmarkEnd w:id="0"/>
    <w:p w:rsidR="00237BC4" w:rsidRDefault="00237BC4" w:rsidP="00237BC4">
      <w:pPr>
        <w:jc w:val="both"/>
        <w:rPr>
          <w:rFonts w:ascii="Arial" w:hAnsi="Arial" w:cs="Arial"/>
          <w:sz w:val="24"/>
          <w:szCs w:val="24"/>
        </w:rPr>
      </w:pPr>
      <w:r w:rsidRPr="00376CBB">
        <w:rPr>
          <w:rFonts w:ascii="Arial" w:hAnsi="Arial" w:cs="Arial"/>
          <w:sz w:val="24"/>
          <w:szCs w:val="24"/>
        </w:rPr>
        <w:t>Ruano Morales, Ana Eugenia Liduvina</w:t>
      </w:r>
    </w:p>
    <w:p w:rsidR="00237BC4" w:rsidRDefault="00237BC4" w:rsidP="00237BC4">
      <w:pPr>
        <w:jc w:val="both"/>
        <w:rPr>
          <w:rFonts w:ascii="Arial" w:hAnsi="Arial" w:cs="Arial"/>
          <w:sz w:val="24"/>
          <w:szCs w:val="24"/>
        </w:rPr>
      </w:pPr>
    </w:p>
    <w:p w:rsidR="00237BC4" w:rsidRDefault="00237BC4" w:rsidP="00237BC4">
      <w:pPr>
        <w:jc w:val="both"/>
        <w:rPr>
          <w:rFonts w:ascii="Arial" w:hAnsi="Arial" w:cs="Arial"/>
          <w:sz w:val="24"/>
          <w:szCs w:val="24"/>
        </w:rPr>
      </w:pPr>
      <w:r w:rsidRPr="00376CBB">
        <w:rPr>
          <w:rFonts w:ascii="Arial" w:hAnsi="Arial" w:cs="Arial"/>
          <w:sz w:val="24"/>
          <w:szCs w:val="24"/>
        </w:rPr>
        <w:t>Darwin López Escobar</w:t>
      </w:r>
    </w:p>
    <w:p w:rsidR="00237BC4" w:rsidRPr="00237BC4" w:rsidRDefault="00237BC4" w:rsidP="00237B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>entro de la estructura organizativa institucional y encuestas a docente y estudiantes de cursos de ascenso a categorías de inspectores/as. Las fuentes bibliográficas son diversas, por ejemplo: libros impresos, revistas, libros digitales, Leyes, Reglamentos, sitios web, etc. La bibliografía fue contrastada con la realidad académica, y el mandato legal respectivo.</w:t>
      </w:r>
      <w:r>
        <w:rPr>
          <w:rFonts w:ascii="Arial" w:hAnsi="Arial" w:cs="Arial"/>
          <w:sz w:val="24"/>
          <w:szCs w:val="24"/>
        </w:rPr>
        <w:t xml:space="preserve"> s</w:t>
      </w:r>
      <w:r w:rsidRPr="00237BC4">
        <w:rPr>
          <w:rFonts w:ascii="Arial" w:hAnsi="Arial" w:cs="Arial"/>
          <w:sz w:val="24"/>
          <w:szCs w:val="24"/>
        </w:rPr>
        <w:t>e hace una breve explicación de la historia de las tecnologías y sus orígenes, un marco teórico mediante el cual se abordan algunos modelos de aplicación de las tecnologías, también incluye las disposiciones legales</w:t>
      </w:r>
      <w:r>
        <w:rPr>
          <w:rFonts w:ascii="Arial" w:hAnsi="Arial" w:cs="Arial"/>
          <w:sz w:val="24"/>
          <w:szCs w:val="24"/>
        </w:rPr>
        <w:t xml:space="preserve"> </w:t>
      </w:r>
      <w:r w:rsidRPr="00237BC4">
        <w:rPr>
          <w:rFonts w:ascii="Arial" w:hAnsi="Arial" w:cs="Arial"/>
          <w:sz w:val="24"/>
          <w:szCs w:val="24"/>
        </w:rPr>
        <w:t xml:space="preserve">y sus principales fundamentos, </w:t>
      </w:r>
      <w:proofErr w:type="gramStart"/>
      <w:r w:rsidRPr="00237BC4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 </w:t>
      </w:r>
      <w:r w:rsidRPr="00237BC4">
        <w:rPr>
          <w:rFonts w:ascii="Arial" w:hAnsi="Arial" w:cs="Arial"/>
          <w:sz w:val="24"/>
          <w:szCs w:val="24"/>
        </w:rPr>
        <w:t>referencia</w:t>
      </w:r>
      <w:proofErr w:type="gramEnd"/>
      <w:r w:rsidRPr="00237BC4">
        <w:rPr>
          <w:rFonts w:ascii="Arial" w:hAnsi="Arial" w:cs="Arial"/>
          <w:sz w:val="24"/>
          <w:szCs w:val="24"/>
        </w:rPr>
        <w:t xml:space="preserve"> a conceptos como las Tecnologías de Información y la Comunicación en la educación entre otros.</w:t>
      </w:r>
    </w:p>
    <w:p w:rsidR="00237BC4" w:rsidRDefault="00237BC4" w:rsidP="00237BC4">
      <w:pPr>
        <w:jc w:val="both"/>
        <w:rPr>
          <w:rFonts w:ascii="Arial" w:hAnsi="Arial" w:cs="Arial"/>
          <w:sz w:val="24"/>
          <w:szCs w:val="24"/>
        </w:rPr>
      </w:pPr>
    </w:p>
    <w:p w:rsidR="00237BC4" w:rsidRDefault="00237BC4" w:rsidP="00237BC4">
      <w:pPr>
        <w:jc w:val="both"/>
        <w:rPr>
          <w:rFonts w:ascii="Arial" w:hAnsi="Arial" w:cs="Arial"/>
          <w:sz w:val="24"/>
          <w:szCs w:val="24"/>
        </w:rPr>
      </w:pPr>
      <w:r w:rsidRPr="00376CBB">
        <w:rPr>
          <w:rFonts w:ascii="Arial" w:hAnsi="Arial" w:cs="Arial"/>
          <w:sz w:val="24"/>
          <w:szCs w:val="24"/>
        </w:rPr>
        <w:t xml:space="preserve">Maestría </w:t>
      </w:r>
      <w:r>
        <w:rPr>
          <w:rFonts w:ascii="Arial" w:hAnsi="Arial" w:cs="Arial"/>
          <w:sz w:val="24"/>
          <w:szCs w:val="24"/>
        </w:rPr>
        <w:t>e</w:t>
      </w:r>
      <w:r w:rsidRPr="00376CBB">
        <w:rPr>
          <w:rFonts w:ascii="Arial" w:hAnsi="Arial" w:cs="Arial"/>
          <w:sz w:val="24"/>
          <w:szCs w:val="24"/>
        </w:rPr>
        <w:t xml:space="preserve">n Profesionalización </w:t>
      </w:r>
      <w:r>
        <w:rPr>
          <w:rFonts w:ascii="Arial" w:hAnsi="Arial" w:cs="Arial"/>
          <w:sz w:val="24"/>
          <w:szCs w:val="24"/>
        </w:rPr>
        <w:t>d</w:t>
      </w:r>
      <w:r w:rsidRPr="00376CBB">
        <w:rPr>
          <w:rFonts w:ascii="Arial" w:hAnsi="Arial" w:cs="Arial"/>
          <w:sz w:val="24"/>
          <w:szCs w:val="24"/>
        </w:rPr>
        <w:t>e La Docencia Superior</w:t>
      </w:r>
      <w:r>
        <w:rPr>
          <w:rFonts w:ascii="Arial" w:hAnsi="Arial" w:cs="Arial"/>
          <w:sz w:val="24"/>
          <w:szCs w:val="24"/>
        </w:rPr>
        <w:t>, 2017.</w:t>
      </w:r>
    </w:p>
    <w:p w:rsidR="00237BC4" w:rsidRDefault="00237BC4"/>
    <w:sectPr w:rsidR="00237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C4"/>
    <w:rsid w:val="001C00AA"/>
    <w:rsid w:val="002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8E67B"/>
  <w15:chartTrackingRefBased/>
  <w15:docId w15:val="{5A87AC9D-515A-40FA-95FF-4DBA661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B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2023-05-03T17:12:00Z</dcterms:created>
  <dcterms:modified xsi:type="dcterms:W3CDTF">2023-05-03T17:25:00Z</dcterms:modified>
</cp:coreProperties>
</file>