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F1B" w:rsidRDefault="00934F1B" w:rsidP="00934F1B">
      <w:pPr>
        <w:jc w:val="both"/>
        <w:rPr>
          <w:rFonts w:ascii="Arial" w:hAnsi="Arial" w:cs="Arial"/>
          <w:sz w:val="24"/>
          <w:szCs w:val="24"/>
        </w:rPr>
      </w:pPr>
      <w:r w:rsidRPr="00705F65">
        <w:rPr>
          <w:rFonts w:ascii="Arial" w:hAnsi="Arial" w:cs="Arial"/>
          <w:sz w:val="24"/>
          <w:szCs w:val="24"/>
        </w:rPr>
        <w:t xml:space="preserve">Relación </w:t>
      </w:r>
      <w:r>
        <w:rPr>
          <w:rFonts w:ascii="Arial" w:hAnsi="Arial" w:cs="Arial"/>
          <w:sz w:val="24"/>
          <w:szCs w:val="24"/>
        </w:rPr>
        <w:t>e</w:t>
      </w:r>
      <w:r w:rsidRPr="00705F65">
        <w:rPr>
          <w:rFonts w:ascii="Arial" w:hAnsi="Arial" w:cs="Arial"/>
          <w:sz w:val="24"/>
          <w:szCs w:val="24"/>
        </w:rPr>
        <w:t xml:space="preserve">ntre </w:t>
      </w:r>
      <w:r>
        <w:rPr>
          <w:rFonts w:ascii="Arial" w:hAnsi="Arial" w:cs="Arial"/>
          <w:sz w:val="24"/>
          <w:szCs w:val="24"/>
        </w:rPr>
        <w:t>e</w:t>
      </w:r>
      <w:r w:rsidRPr="00705F65">
        <w:rPr>
          <w:rFonts w:ascii="Arial" w:hAnsi="Arial" w:cs="Arial"/>
          <w:sz w:val="24"/>
          <w:szCs w:val="24"/>
        </w:rPr>
        <w:t xml:space="preserve">l </w:t>
      </w:r>
      <w:r>
        <w:rPr>
          <w:rFonts w:ascii="Arial" w:hAnsi="Arial" w:cs="Arial"/>
          <w:sz w:val="24"/>
          <w:szCs w:val="24"/>
        </w:rPr>
        <w:t>p</w:t>
      </w:r>
      <w:r w:rsidRPr="00705F65">
        <w:rPr>
          <w:rFonts w:ascii="Arial" w:hAnsi="Arial" w:cs="Arial"/>
          <w:sz w:val="24"/>
          <w:szCs w:val="24"/>
        </w:rPr>
        <w:t xml:space="preserve">adecimiento </w:t>
      </w:r>
      <w:r>
        <w:rPr>
          <w:rFonts w:ascii="Arial" w:hAnsi="Arial" w:cs="Arial"/>
          <w:sz w:val="24"/>
          <w:szCs w:val="24"/>
        </w:rPr>
        <w:t>d</w:t>
      </w:r>
      <w:r w:rsidRPr="00705F65">
        <w:rPr>
          <w:rFonts w:ascii="Arial" w:hAnsi="Arial" w:cs="Arial"/>
          <w:sz w:val="24"/>
          <w:szCs w:val="24"/>
        </w:rPr>
        <w:t xml:space="preserve">el Síndrome </w:t>
      </w:r>
      <w:r>
        <w:rPr>
          <w:rFonts w:ascii="Arial" w:hAnsi="Arial" w:cs="Arial"/>
          <w:sz w:val="24"/>
          <w:szCs w:val="24"/>
        </w:rPr>
        <w:t>d</w:t>
      </w:r>
      <w:r w:rsidRPr="00705F65">
        <w:rPr>
          <w:rFonts w:ascii="Arial" w:hAnsi="Arial" w:cs="Arial"/>
          <w:sz w:val="24"/>
          <w:szCs w:val="24"/>
        </w:rPr>
        <w:t xml:space="preserve">e Burnout </w:t>
      </w:r>
      <w:r w:rsidRPr="00705F65">
        <w:rPr>
          <w:rFonts w:ascii="Arial" w:hAnsi="Arial" w:cs="Arial"/>
          <w:sz w:val="24"/>
          <w:szCs w:val="24"/>
        </w:rPr>
        <w:t xml:space="preserve">y el desempeño laboral en docentes a tiempo completo de los departamentos de medicina, ciencias sociales e ingeniería y arquitectura de la </w:t>
      </w:r>
      <w:r w:rsidRPr="00705F65">
        <w:rPr>
          <w:rFonts w:ascii="Arial" w:hAnsi="Arial" w:cs="Arial"/>
          <w:sz w:val="24"/>
          <w:szCs w:val="24"/>
        </w:rPr>
        <w:t xml:space="preserve">Facultad Multidisciplinaria </w:t>
      </w:r>
      <w:r>
        <w:rPr>
          <w:rFonts w:ascii="Arial" w:hAnsi="Arial" w:cs="Arial"/>
          <w:sz w:val="24"/>
          <w:szCs w:val="24"/>
        </w:rPr>
        <w:t>d</w:t>
      </w:r>
      <w:r w:rsidRPr="00705F65">
        <w:rPr>
          <w:rFonts w:ascii="Arial" w:hAnsi="Arial" w:cs="Arial"/>
          <w:sz w:val="24"/>
          <w:szCs w:val="24"/>
        </w:rPr>
        <w:t xml:space="preserve">e Occidente, </w:t>
      </w:r>
      <w:r w:rsidRPr="00705F65">
        <w:rPr>
          <w:rFonts w:ascii="Arial" w:hAnsi="Arial" w:cs="Arial"/>
          <w:sz w:val="24"/>
          <w:szCs w:val="24"/>
        </w:rPr>
        <w:t>durante el periodo de agosto a diciembre del año 2017</w:t>
      </w:r>
    </w:p>
    <w:p w:rsidR="00934F1B" w:rsidRDefault="00934F1B" w:rsidP="00934F1B">
      <w:pPr>
        <w:jc w:val="both"/>
        <w:rPr>
          <w:rFonts w:ascii="Arial" w:hAnsi="Arial" w:cs="Arial"/>
          <w:sz w:val="24"/>
          <w:szCs w:val="24"/>
        </w:rPr>
      </w:pPr>
    </w:p>
    <w:p w:rsidR="00934F1B" w:rsidRDefault="00934F1B" w:rsidP="00934F1B">
      <w:pPr>
        <w:jc w:val="both"/>
        <w:rPr>
          <w:rFonts w:ascii="Arial" w:hAnsi="Arial" w:cs="Arial"/>
          <w:sz w:val="24"/>
          <w:szCs w:val="24"/>
        </w:rPr>
      </w:pPr>
      <w:bookmarkStart w:id="0" w:name="_GoBack"/>
      <w:r w:rsidRPr="00705F65">
        <w:rPr>
          <w:rFonts w:ascii="Arial" w:hAnsi="Arial" w:cs="Arial"/>
          <w:sz w:val="24"/>
          <w:szCs w:val="24"/>
        </w:rPr>
        <w:t>Ortiz España</w:t>
      </w:r>
      <w:r>
        <w:rPr>
          <w:rFonts w:ascii="Arial" w:hAnsi="Arial" w:cs="Arial"/>
          <w:sz w:val="24"/>
          <w:szCs w:val="24"/>
        </w:rPr>
        <w:t>,</w:t>
      </w:r>
      <w:r w:rsidRPr="00705F65">
        <w:rPr>
          <w:rFonts w:ascii="Arial" w:hAnsi="Arial" w:cs="Arial"/>
          <w:sz w:val="24"/>
          <w:szCs w:val="24"/>
        </w:rPr>
        <w:t xml:space="preserve"> Karla </w:t>
      </w:r>
      <w:bookmarkEnd w:id="0"/>
      <w:r w:rsidRPr="00705F65">
        <w:rPr>
          <w:rFonts w:ascii="Arial" w:hAnsi="Arial" w:cs="Arial"/>
          <w:sz w:val="24"/>
          <w:szCs w:val="24"/>
        </w:rPr>
        <w:t>Patricia</w:t>
      </w:r>
    </w:p>
    <w:p w:rsidR="00934F1B" w:rsidRDefault="00934F1B" w:rsidP="00934F1B">
      <w:pPr>
        <w:jc w:val="both"/>
        <w:rPr>
          <w:rFonts w:ascii="Arial" w:hAnsi="Arial" w:cs="Arial"/>
          <w:sz w:val="24"/>
          <w:szCs w:val="24"/>
        </w:rPr>
      </w:pPr>
      <w:r w:rsidRPr="00705F65">
        <w:rPr>
          <w:rFonts w:ascii="Arial" w:hAnsi="Arial" w:cs="Arial"/>
          <w:sz w:val="24"/>
          <w:szCs w:val="24"/>
        </w:rPr>
        <w:t xml:space="preserve">Rivas </w:t>
      </w:r>
      <w:r>
        <w:rPr>
          <w:rFonts w:ascii="Arial" w:hAnsi="Arial" w:cs="Arial"/>
          <w:sz w:val="24"/>
          <w:szCs w:val="24"/>
        </w:rPr>
        <w:t>d</w:t>
      </w:r>
      <w:r w:rsidRPr="00705F65">
        <w:rPr>
          <w:rFonts w:ascii="Arial" w:hAnsi="Arial" w:cs="Arial"/>
          <w:sz w:val="24"/>
          <w:szCs w:val="24"/>
        </w:rPr>
        <w:t>e Martínez</w:t>
      </w:r>
      <w:r>
        <w:rPr>
          <w:rFonts w:ascii="Arial" w:hAnsi="Arial" w:cs="Arial"/>
          <w:sz w:val="24"/>
          <w:szCs w:val="24"/>
        </w:rPr>
        <w:t>,</w:t>
      </w:r>
      <w:r w:rsidRPr="00705F65">
        <w:rPr>
          <w:rFonts w:ascii="Arial" w:hAnsi="Arial" w:cs="Arial"/>
          <w:sz w:val="24"/>
          <w:szCs w:val="24"/>
        </w:rPr>
        <w:t xml:space="preserve"> </w:t>
      </w:r>
      <w:r w:rsidRPr="00705F65">
        <w:rPr>
          <w:rFonts w:ascii="Arial" w:hAnsi="Arial" w:cs="Arial"/>
          <w:sz w:val="24"/>
          <w:szCs w:val="24"/>
        </w:rPr>
        <w:t>Paula Karina</w:t>
      </w:r>
    </w:p>
    <w:p w:rsidR="00934F1B" w:rsidRDefault="00934F1B" w:rsidP="00934F1B">
      <w:pPr>
        <w:jc w:val="both"/>
        <w:rPr>
          <w:rFonts w:ascii="Arial" w:hAnsi="Arial" w:cs="Arial"/>
          <w:sz w:val="24"/>
          <w:szCs w:val="24"/>
        </w:rPr>
      </w:pPr>
    </w:p>
    <w:p w:rsidR="00934F1B" w:rsidRPr="00705F65" w:rsidRDefault="00934F1B" w:rsidP="00934F1B">
      <w:pPr>
        <w:jc w:val="both"/>
        <w:rPr>
          <w:rFonts w:ascii="Arial" w:hAnsi="Arial" w:cs="Arial"/>
          <w:sz w:val="24"/>
          <w:szCs w:val="24"/>
        </w:rPr>
      </w:pPr>
      <w:r w:rsidRPr="00705F65">
        <w:rPr>
          <w:rFonts w:ascii="Arial" w:hAnsi="Arial" w:cs="Arial"/>
          <w:sz w:val="24"/>
          <w:szCs w:val="24"/>
        </w:rPr>
        <w:t>Simón Otilio Zelaya Díaz</w:t>
      </w:r>
    </w:p>
    <w:p w:rsidR="00934F1B" w:rsidRPr="00705F65" w:rsidRDefault="00934F1B" w:rsidP="00934F1B">
      <w:pPr>
        <w:jc w:val="both"/>
        <w:rPr>
          <w:rFonts w:ascii="Arial" w:hAnsi="Arial" w:cs="Arial"/>
          <w:sz w:val="24"/>
          <w:szCs w:val="24"/>
        </w:rPr>
      </w:pPr>
    </w:p>
    <w:p w:rsidR="00934F1B" w:rsidRPr="00705F65" w:rsidRDefault="00934F1B" w:rsidP="00934F1B">
      <w:pPr>
        <w:jc w:val="both"/>
        <w:rPr>
          <w:rFonts w:ascii="Arial" w:hAnsi="Arial" w:cs="Arial"/>
          <w:sz w:val="24"/>
          <w:szCs w:val="24"/>
        </w:rPr>
      </w:pPr>
      <w:r w:rsidRPr="00705F65">
        <w:rPr>
          <w:rFonts w:ascii="Arial" w:hAnsi="Arial" w:cs="Arial"/>
          <w:sz w:val="24"/>
          <w:szCs w:val="24"/>
        </w:rPr>
        <w:t>En la sociedad actual se observa una creciente preocupación por medir y abordar temas relacionados al desempeño laboral especialmente en el área de la educación, debido a que ésta constituye un pilar importante para la formación de las futuras generaciones. Realizando una revisión teórica sobre la temática se puede constatar que el entorno educativo supone un riesgo para la salud física y sobre todo mental del docente, tomando en cuenta estos datos, se debe suponer que dicho profesional se encuentra sometido a una serie de presiones internas y externas que deterioran gradualmente su salud. Por tanto, se afirma que la profesión docente por tener una naturaleza de asistencia a terceras personas, constituye un gremio que puede desarrollar y padecer diversas enfermedades ocupacionales, dentro de ellas, el Síndrome de Burnout o Síndrome de fatiga crónica</w:t>
      </w:r>
      <w:r>
        <w:rPr>
          <w:rFonts w:ascii="Arial" w:hAnsi="Arial" w:cs="Arial"/>
          <w:sz w:val="24"/>
          <w:szCs w:val="24"/>
        </w:rPr>
        <w:t>.</w:t>
      </w:r>
    </w:p>
    <w:p w:rsidR="00934F1B" w:rsidRDefault="00934F1B">
      <w:pPr>
        <w:rPr>
          <w:rFonts w:ascii="Arial" w:hAnsi="Arial" w:cs="Arial"/>
          <w:sz w:val="24"/>
          <w:szCs w:val="24"/>
        </w:rPr>
      </w:pPr>
    </w:p>
    <w:p w:rsidR="00934F1B" w:rsidRDefault="00934F1B">
      <w:pPr>
        <w:rPr>
          <w:rFonts w:ascii="Arial" w:hAnsi="Arial" w:cs="Arial"/>
          <w:sz w:val="24"/>
          <w:szCs w:val="24"/>
        </w:rPr>
      </w:pPr>
    </w:p>
    <w:p w:rsidR="00934F1B" w:rsidRPr="00934F1B" w:rsidRDefault="00934F1B">
      <w:pPr>
        <w:rPr>
          <w:rFonts w:ascii="Arial" w:hAnsi="Arial" w:cs="Arial"/>
          <w:sz w:val="24"/>
          <w:szCs w:val="24"/>
        </w:rPr>
      </w:pPr>
      <w:r w:rsidRPr="000E3A7B">
        <w:rPr>
          <w:rFonts w:ascii="Arial" w:hAnsi="Arial" w:cs="Arial"/>
          <w:sz w:val="24"/>
          <w:szCs w:val="24"/>
        </w:rPr>
        <w:t xml:space="preserve">Maestría </w:t>
      </w:r>
      <w:r>
        <w:rPr>
          <w:rFonts w:ascii="Arial" w:hAnsi="Arial" w:cs="Arial"/>
          <w:sz w:val="24"/>
          <w:szCs w:val="24"/>
        </w:rPr>
        <w:t>e</w:t>
      </w:r>
      <w:r w:rsidRPr="000E3A7B">
        <w:rPr>
          <w:rFonts w:ascii="Arial" w:hAnsi="Arial" w:cs="Arial"/>
          <w:sz w:val="24"/>
          <w:szCs w:val="24"/>
        </w:rPr>
        <w:t xml:space="preserve">n Profesionalización </w:t>
      </w:r>
      <w:r>
        <w:rPr>
          <w:rFonts w:ascii="Arial" w:hAnsi="Arial" w:cs="Arial"/>
          <w:sz w:val="24"/>
          <w:szCs w:val="24"/>
        </w:rPr>
        <w:t>d</w:t>
      </w:r>
      <w:r w:rsidRPr="000E3A7B">
        <w:rPr>
          <w:rFonts w:ascii="Arial" w:hAnsi="Arial" w:cs="Arial"/>
          <w:sz w:val="24"/>
          <w:szCs w:val="24"/>
        </w:rPr>
        <w:t>e La Docencia Superior</w:t>
      </w:r>
      <w:r>
        <w:rPr>
          <w:rFonts w:ascii="Arial" w:hAnsi="Arial" w:cs="Arial"/>
          <w:sz w:val="24"/>
          <w:szCs w:val="24"/>
        </w:rPr>
        <w:t>, 2018</w:t>
      </w:r>
    </w:p>
    <w:sectPr w:rsidR="00934F1B" w:rsidRPr="00934F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1B"/>
    <w:rsid w:val="00934F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39F4"/>
  <w15:chartTrackingRefBased/>
  <w15:docId w15:val="{5F03226A-6D0C-4AA8-8C21-D8494EF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cp:revision>
  <dcterms:created xsi:type="dcterms:W3CDTF">2023-05-05T18:44:00Z</dcterms:created>
  <dcterms:modified xsi:type="dcterms:W3CDTF">2023-05-05T18:52:00Z</dcterms:modified>
</cp:coreProperties>
</file>