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7C" w:rsidRPr="00072658" w:rsidRDefault="00E61A7C" w:rsidP="00E61A7C">
      <w:pPr>
        <w:jc w:val="both"/>
        <w:rPr>
          <w:rFonts w:ascii="Arial" w:hAnsi="Arial" w:cs="Arial"/>
          <w:sz w:val="24"/>
          <w:szCs w:val="24"/>
        </w:rPr>
      </w:pPr>
      <w:r w:rsidRPr="00072658">
        <w:rPr>
          <w:rFonts w:ascii="Arial" w:hAnsi="Arial" w:cs="Arial"/>
          <w:sz w:val="24"/>
          <w:szCs w:val="24"/>
        </w:rPr>
        <w:t xml:space="preserve">Incidencia </w:t>
      </w:r>
      <w:r>
        <w:rPr>
          <w:rFonts w:ascii="Arial" w:hAnsi="Arial" w:cs="Arial"/>
          <w:sz w:val="24"/>
          <w:szCs w:val="24"/>
        </w:rPr>
        <w:t>d</w:t>
      </w:r>
      <w:r w:rsidRPr="0007265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</w:t>
      </w:r>
      <w:r w:rsidRPr="00072658">
        <w:rPr>
          <w:rFonts w:ascii="Arial" w:hAnsi="Arial" w:cs="Arial"/>
          <w:sz w:val="24"/>
          <w:szCs w:val="24"/>
        </w:rPr>
        <w:t xml:space="preserve">atologías </w:t>
      </w:r>
      <w:r>
        <w:rPr>
          <w:rFonts w:ascii="Arial" w:hAnsi="Arial" w:cs="Arial"/>
          <w:sz w:val="24"/>
          <w:szCs w:val="24"/>
        </w:rPr>
        <w:t>d</w:t>
      </w:r>
      <w:r w:rsidRPr="0007265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v</w:t>
      </w:r>
      <w:r w:rsidRPr="00072658">
        <w:rPr>
          <w:rFonts w:ascii="Arial" w:hAnsi="Arial" w:cs="Arial"/>
          <w:sz w:val="24"/>
          <w:szCs w:val="24"/>
        </w:rPr>
        <w:t xml:space="preserve">esícula </w:t>
      </w:r>
      <w:r>
        <w:rPr>
          <w:rFonts w:ascii="Arial" w:hAnsi="Arial" w:cs="Arial"/>
          <w:sz w:val="24"/>
          <w:szCs w:val="24"/>
        </w:rPr>
        <w:t>b</w:t>
      </w:r>
      <w:r w:rsidRPr="00072658">
        <w:rPr>
          <w:rFonts w:ascii="Arial" w:hAnsi="Arial" w:cs="Arial"/>
          <w:sz w:val="24"/>
          <w:szCs w:val="24"/>
        </w:rPr>
        <w:t xml:space="preserve">iliar </w:t>
      </w:r>
      <w:r>
        <w:rPr>
          <w:rFonts w:ascii="Arial" w:hAnsi="Arial" w:cs="Arial"/>
          <w:sz w:val="24"/>
          <w:szCs w:val="24"/>
        </w:rPr>
        <w:t>r</w:t>
      </w:r>
      <w:r w:rsidRPr="00072658">
        <w:rPr>
          <w:rFonts w:ascii="Arial" w:hAnsi="Arial" w:cs="Arial"/>
          <w:sz w:val="24"/>
          <w:szCs w:val="24"/>
        </w:rPr>
        <w:t xml:space="preserve">ecibidas </w:t>
      </w:r>
      <w:r>
        <w:rPr>
          <w:rFonts w:ascii="Arial" w:hAnsi="Arial" w:cs="Arial"/>
          <w:sz w:val="24"/>
          <w:szCs w:val="24"/>
        </w:rPr>
        <w:t>e</w:t>
      </w:r>
      <w:r w:rsidRPr="00072658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072658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d</w:t>
      </w:r>
      <w:r w:rsidRPr="00072658">
        <w:rPr>
          <w:rFonts w:ascii="Arial" w:hAnsi="Arial" w:cs="Arial"/>
          <w:sz w:val="24"/>
          <w:szCs w:val="24"/>
        </w:rPr>
        <w:t xml:space="preserve">epartamento </w:t>
      </w:r>
      <w:r>
        <w:rPr>
          <w:rFonts w:ascii="Arial" w:hAnsi="Arial" w:cs="Arial"/>
          <w:sz w:val="24"/>
          <w:szCs w:val="24"/>
        </w:rPr>
        <w:t>d</w:t>
      </w:r>
      <w:r w:rsidRPr="0007265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</w:t>
      </w:r>
      <w:r w:rsidRPr="00072658">
        <w:rPr>
          <w:rFonts w:ascii="Arial" w:hAnsi="Arial" w:cs="Arial"/>
          <w:sz w:val="24"/>
          <w:szCs w:val="24"/>
        </w:rPr>
        <w:t>atología</w:t>
      </w:r>
      <w:r>
        <w:rPr>
          <w:rFonts w:ascii="Arial" w:hAnsi="Arial" w:cs="Arial"/>
          <w:sz w:val="24"/>
          <w:szCs w:val="24"/>
        </w:rPr>
        <w:t xml:space="preserve"> </w:t>
      </w:r>
      <w:r w:rsidRPr="0007265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</w:t>
      </w:r>
      <w:r w:rsidRPr="00072658">
        <w:rPr>
          <w:rFonts w:ascii="Arial" w:hAnsi="Arial" w:cs="Arial"/>
          <w:sz w:val="24"/>
          <w:szCs w:val="24"/>
        </w:rPr>
        <w:t xml:space="preserve">el Hospital Nacional San Juan </w:t>
      </w:r>
      <w:r>
        <w:rPr>
          <w:rFonts w:ascii="Arial" w:hAnsi="Arial" w:cs="Arial"/>
          <w:sz w:val="24"/>
          <w:szCs w:val="24"/>
        </w:rPr>
        <w:t>d</w:t>
      </w:r>
      <w:r w:rsidRPr="00072658">
        <w:rPr>
          <w:rFonts w:ascii="Arial" w:hAnsi="Arial" w:cs="Arial"/>
          <w:sz w:val="24"/>
          <w:szCs w:val="24"/>
        </w:rPr>
        <w:t xml:space="preserve">e Dios </w:t>
      </w:r>
      <w:r>
        <w:rPr>
          <w:rFonts w:ascii="Arial" w:hAnsi="Arial" w:cs="Arial"/>
          <w:sz w:val="24"/>
          <w:szCs w:val="24"/>
        </w:rPr>
        <w:t>d</w:t>
      </w:r>
      <w:r w:rsidRPr="00072658">
        <w:rPr>
          <w:rFonts w:ascii="Arial" w:hAnsi="Arial" w:cs="Arial"/>
          <w:sz w:val="24"/>
          <w:szCs w:val="24"/>
        </w:rPr>
        <w:t xml:space="preserve">e Santa Ana, </w:t>
      </w:r>
      <w:r>
        <w:rPr>
          <w:rFonts w:ascii="Arial" w:hAnsi="Arial" w:cs="Arial"/>
          <w:sz w:val="24"/>
          <w:szCs w:val="24"/>
        </w:rPr>
        <w:t>e</w:t>
      </w:r>
      <w:r w:rsidRPr="00072658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072658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</w:t>
      </w:r>
      <w:r w:rsidRPr="00072658">
        <w:rPr>
          <w:rFonts w:ascii="Arial" w:hAnsi="Arial" w:cs="Arial"/>
          <w:sz w:val="24"/>
          <w:szCs w:val="24"/>
        </w:rPr>
        <w:t xml:space="preserve">eriodo </w:t>
      </w:r>
      <w:r>
        <w:rPr>
          <w:rFonts w:ascii="Arial" w:hAnsi="Arial" w:cs="Arial"/>
          <w:sz w:val="24"/>
          <w:szCs w:val="24"/>
        </w:rPr>
        <w:t>d</w:t>
      </w:r>
      <w:r w:rsidRPr="00072658">
        <w:rPr>
          <w:rFonts w:ascii="Arial" w:hAnsi="Arial" w:cs="Arial"/>
          <w:sz w:val="24"/>
          <w:szCs w:val="24"/>
        </w:rPr>
        <w:t xml:space="preserve">el 1 </w:t>
      </w:r>
      <w:r>
        <w:rPr>
          <w:rFonts w:ascii="Arial" w:hAnsi="Arial" w:cs="Arial"/>
          <w:sz w:val="24"/>
          <w:szCs w:val="24"/>
        </w:rPr>
        <w:t>d</w:t>
      </w:r>
      <w:r w:rsidRPr="0007265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</w:t>
      </w:r>
      <w:r w:rsidRPr="00072658">
        <w:rPr>
          <w:rFonts w:ascii="Arial" w:hAnsi="Arial" w:cs="Arial"/>
          <w:sz w:val="24"/>
          <w:szCs w:val="24"/>
        </w:rPr>
        <w:t xml:space="preserve">nero </w:t>
      </w:r>
      <w:r>
        <w:rPr>
          <w:rFonts w:ascii="Arial" w:hAnsi="Arial" w:cs="Arial"/>
          <w:sz w:val="24"/>
          <w:szCs w:val="24"/>
        </w:rPr>
        <w:t>a</w:t>
      </w:r>
      <w:r w:rsidRPr="00072658">
        <w:rPr>
          <w:rFonts w:ascii="Arial" w:hAnsi="Arial" w:cs="Arial"/>
          <w:sz w:val="24"/>
          <w:szCs w:val="24"/>
        </w:rPr>
        <w:t xml:space="preserve"> 31 </w:t>
      </w:r>
      <w:r>
        <w:rPr>
          <w:rFonts w:ascii="Arial" w:hAnsi="Arial" w:cs="Arial"/>
          <w:sz w:val="24"/>
          <w:szCs w:val="24"/>
        </w:rPr>
        <w:t>d</w:t>
      </w:r>
      <w:r w:rsidRPr="0007265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d</w:t>
      </w:r>
      <w:r w:rsidRPr="00072658">
        <w:rPr>
          <w:rFonts w:ascii="Arial" w:hAnsi="Arial" w:cs="Arial"/>
          <w:sz w:val="24"/>
          <w:szCs w:val="24"/>
        </w:rPr>
        <w:t xml:space="preserve">iciembre </w:t>
      </w:r>
      <w:r>
        <w:rPr>
          <w:rFonts w:ascii="Arial" w:hAnsi="Arial" w:cs="Arial"/>
          <w:sz w:val="24"/>
          <w:szCs w:val="24"/>
        </w:rPr>
        <w:t>d</w:t>
      </w:r>
      <w:r w:rsidRPr="00072658">
        <w:rPr>
          <w:rFonts w:ascii="Arial" w:hAnsi="Arial" w:cs="Arial"/>
          <w:sz w:val="24"/>
          <w:szCs w:val="24"/>
        </w:rPr>
        <w:t>e 2018</w:t>
      </w:r>
    </w:p>
    <w:p w:rsidR="00E61A7C" w:rsidRPr="00072658" w:rsidRDefault="00E61A7C" w:rsidP="00E61A7C">
      <w:pPr>
        <w:jc w:val="both"/>
        <w:rPr>
          <w:rFonts w:ascii="Arial" w:hAnsi="Arial" w:cs="Arial"/>
          <w:sz w:val="24"/>
          <w:szCs w:val="24"/>
        </w:rPr>
      </w:pPr>
    </w:p>
    <w:p w:rsidR="00E61A7C" w:rsidRDefault="00E61A7C" w:rsidP="00E61A7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72658">
        <w:rPr>
          <w:rFonts w:ascii="Arial" w:hAnsi="Arial" w:cs="Arial"/>
          <w:sz w:val="24"/>
          <w:szCs w:val="24"/>
        </w:rPr>
        <w:t>Bell Girón</w:t>
      </w:r>
      <w:r>
        <w:rPr>
          <w:rFonts w:ascii="Arial" w:hAnsi="Arial" w:cs="Arial"/>
          <w:sz w:val="24"/>
          <w:szCs w:val="24"/>
        </w:rPr>
        <w:t>,</w:t>
      </w:r>
      <w:r w:rsidRPr="00072658">
        <w:rPr>
          <w:rFonts w:ascii="Arial" w:hAnsi="Arial" w:cs="Arial"/>
          <w:sz w:val="24"/>
          <w:szCs w:val="24"/>
        </w:rPr>
        <w:t xml:space="preserve"> Gabriela</w:t>
      </w:r>
      <w:bookmarkEnd w:id="0"/>
      <w:r w:rsidRPr="00072658">
        <w:rPr>
          <w:rFonts w:ascii="Arial" w:hAnsi="Arial" w:cs="Arial"/>
          <w:sz w:val="24"/>
          <w:szCs w:val="24"/>
        </w:rPr>
        <w:t xml:space="preserve"> Elizabeth</w:t>
      </w:r>
    </w:p>
    <w:p w:rsidR="00E61A7C" w:rsidRDefault="00E61A7C" w:rsidP="00E61A7C">
      <w:pPr>
        <w:jc w:val="both"/>
        <w:rPr>
          <w:rFonts w:ascii="Arial" w:hAnsi="Arial" w:cs="Arial"/>
          <w:sz w:val="24"/>
          <w:szCs w:val="24"/>
        </w:rPr>
      </w:pPr>
      <w:r w:rsidRPr="00072658">
        <w:rPr>
          <w:rFonts w:ascii="Arial" w:hAnsi="Arial" w:cs="Arial"/>
          <w:sz w:val="24"/>
          <w:szCs w:val="24"/>
        </w:rPr>
        <w:t>Salazar Alfaro</w:t>
      </w:r>
      <w:r>
        <w:rPr>
          <w:rFonts w:ascii="Arial" w:hAnsi="Arial" w:cs="Arial"/>
          <w:sz w:val="24"/>
          <w:szCs w:val="24"/>
        </w:rPr>
        <w:t>,</w:t>
      </w:r>
      <w:r w:rsidRPr="00072658">
        <w:rPr>
          <w:rFonts w:ascii="Arial" w:hAnsi="Arial" w:cs="Arial"/>
          <w:sz w:val="24"/>
          <w:szCs w:val="24"/>
        </w:rPr>
        <w:t xml:space="preserve"> Sonia Michelle</w:t>
      </w:r>
    </w:p>
    <w:p w:rsidR="00E61A7C" w:rsidRDefault="00E61A7C" w:rsidP="00E61A7C">
      <w:pPr>
        <w:jc w:val="both"/>
        <w:rPr>
          <w:rFonts w:ascii="Arial" w:hAnsi="Arial" w:cs="Arial"/>
          <w:sz w:val="24"/>
          <w:szCs w:val="24"/>
        </w:rPr>
      </w:pPr>
      <w:r w:rsidRPr="00072658">
        <w:rPr>
          <w:rFonts w:ascii="Arial" w:hAnsi="Arial" w:cs="Arial"/>
          <w:sz w:val="24"/>
          <w:szCs w:val="24"/>
        </w:rPr>
        <w:t>Tobar Sandoval</w:t>
      </w:r>
      <w:r>
        <w:rPr>
          <w:rFonts w:ascii="Arial" w:hAnsi="Arial" w:cs="Arial"/>
          <w:sz w:val="24"/>
          <w:szCs w:val="24"/>
        </w:rPr>
        <w:t>,</w:t>
      </w:r>
      <w:r w:rsidRPr="00072658">
        <w:rPr>
          <w:rFonts w:ascii="Arial" w:hAnsi="Arial" w:cs="Arial"/>
          <w:sz w:val="24"/>
          <w:szCs w:val="24"/>
        </w:rPr>
        <w:t xml:space="preserve"> Karla Eloísa</w:t>
      </w:r>
    </w:p>
    <w:p w:rsidR="00E61A7C" w:rsidRPr="00072658" w:rsidRDefault="00E61A7C" w:rsidP="00E61A7C">
      <w:pPr>
        <w:jc w:val="both"/>
        <w:rPr>
          <w:rFonts w:ascii="Arial" w:hAnsi="Arial" w:cs="Arial"/>
          <w:sz w:val="24"/>
          <w:szCs w:val="24"/>
        </w:rPr>
      </w:pPr>
    </w:p>
    <w:p w:rsidR="00E61A7C" w:rsidRDefault="00E61A7C" w:rsidP="00E61A7C">
      <w:pPr>
        <w:jc w:val="both"/>
        <w:rPr>
          <w:rFonts w:ascii="Arial" w:hAnsi="Arial" w:cs="Arial"/>
          <w:sz w:val="24"/>
          <w:szCs w:val="24"/>
        </w:rPr>
      </w:pPr>
      <w:r w:rsidRPr="00072658">
        <w:rPr>
          <w:rFonts w:ascii="Arial" w:hAnsi="Arial" w:cs="Arial"/>
          <w:sz w:val="24"/>
          <w:szCs w:val="24"/>
        </w:rPr>
        <w:t>Las colecistopatías o enfermedades de la vesícula biliar pueden ser clasificadas, según su origen, en benignas y malignas; entre las primeras se encuentran la litiasis vesicular, que es la enfermedad del tracto alimentario que más requiere hospitalización y ocurre de forma frecuente en personas aparentemente saludables; los pólipos vesiculares, que son lesiones frecuentes en la mucosa vesicular y en su gran mayoría corresponden a lesiones de carácter reactivo, adaptativo o inflamatorio y puede causar síntomas como cólico biliar, asociado a náuseas y, en ocasiones, a vómitos. En las segundas se puede encontrar el cáncer de vesícula biliar y corresponde a una patología altamente prevalente, lamentablemente es una enfermedad que sólo presenta síntomas cuando ya se encuentra en estados avanzados.</w:t>
      </w:r>
      <w:r>
        <w:t xml:space="preserve"> </w:t>
      </w:r>
    </w:p>
    <w:p w:rsidR="00B936D3" w:rsidRDefault="00E61A7C"/>
    <w:p w:rsidR="00E61A7C" w:rsidRPr="00585947" w:rsidRDefault="00E61A7C" w:rsidP="00E61A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Doctorado en </w:t>
      </w:r>
      <w:r w:rsidRPr="00585947">
        <w:rPr>
          <w:rFonts w:ascii="Arial" w:hAnsi="Arial" w:cs="Arial"/>
          <w:sz w:val="24"/>
          <w:szCs w:val="24"/>
        </w:rPr>
        <w:t>Medicina</w:t>
      </w:r>
      <w:r>
        <w:rPr>
          <w:rFonts w:ascii="Arial" w:hAnsi="Arial" w:cs="Arial"/>
          <w:sz w:val="24"/>
          <w:szCs w:val="24"/>
        </w:rPr>
        <w:t>, 2019.</w:t>
      </w:r>
    </w:p>
    <w:p w:rsidR="00E61A7C" w:rsidRDefault="00E61A7C"/>
    <w:sectPr w:rsidR="00E61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C"/>
    <w:rsid w:val="003066CC"/>
    <w:rsid w:val="008F3485"/>
    <w:rsid w:val="00E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90F87"/>
  <w15:chartTrackingRefBased/>
  <w15:docId w15:val="{BE8A8AE3-5F37-47A4-AA6B-8F806042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7C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2023-05-08T03:14:00Z</dcterms:created>
  <dcterms:modified xsi:type="dcterms:W3CDTF">2023-05-08T03:18:00Z</dcterms:modified>
</cp:coreProperties>
</file>